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0"/>
      </w:pPr>
      <w:r>
        <w:rPr>
          <w:sz w:val="21"/>
          <w:szCs w:val="21"/>
        </w:rPr>
        <w:t xml:space="preserve"/>
      </w:r>
    </w:p>
    <w:p>
      <w:pPr>
        <w:spacing w:after="600"/>
      </w:pPr>
      <w:r>
        <w:rPr>
          <w:sz w:val="21"/>
          <w:szCs w:val="21"/>
        </w:rPr>
        <w:t xml:space="preserve"/>
      </w:r>
    </w:p>
    <w:p>
      <w:pPr>
        <w:spacing w:after="160" w:line="276"/>
        <w:jc w:val="center"/>
      </w:pPr>
      <w:r>
        <w:rPr>
          <w:rFonts w:ascii="Calibri" w:cs="Calibri" w:eastAsia="Calibri" w:hAnsi="Calibri"/>
          <w:b/>
          <w:bCs/>
          <w:i w:val="false"/>
          <w:iCs w:val="false"/>
          <w:color w:val="C0392B"/>
          <w:sz w:val="24"/>
          <w:szCs w:val="24"/>
        </w:rPr>
        <w:t xml:space="preserve">CONFIDENTIAL</w:t>
      </w:r>
    </w:p>
    <w:p>
      <w:pPr>
        <w:spacing w:after="200"/>
      </w:pPr>
      <w:r>
        <w:rPr>
          <w:sz w:val="21"/>
          <w:szCs w:val="21"/>
        </w:rPr>
        <w:t xml:space="preserve"/>
      </w:r>
    </w:p>
    <w:p>
      <w:pPr>
        <w:pBdr>
          <w:bottom w:val="single" w:color="1B3A5C" w:sz="12"/>
        </w:pBdr>
        <w:spacing w:after="200"/>
      </w:pPr>
      <w:r>
        <w:rPr>
          <w:sz w:val="2"/>
          <w:szCs w:val="2"/>
        </w:rPr>
        <w:t xml:space="preserve"/>
      </w:r>
    </w:p>
    <w:p>
      <w:pPr>
        <w:spacing w:after="160" w:line="276"/>
        <w:jc w:val="center"/>
      </w:pPr>
      <w:r>
        <w:rPr>
          <w:rFonts w:ascii="Calibri" w:cs="Calibri" w:eastAsia="Calibri" w:hAnsi="Calibri"/>
          <w:b/>
          <w:bCs/>
          <w:i w:val="false"/>
          <w:iCs w:val="false"/>
          <w:color w:val="1B3A5C"/>
          <w:sz w:val="32"/>
          <w:szCs w:val="32"/>
        </w:rPr>
        <w:t xml:space="preserve">BUSINESS RESILIENCE PULSE CHECK</w:t>
      </w:r>
    </w:p>
    <w:p>
      <w:pPr>
        <w:spacing w:after="100"/>
      </w:pPr>
      <w:r>
        <w:rPr>
          <w:sz w:val="21"/>
          <w:szCs w:val="21"/>
        </w:rPr>
        <w:t xml:space="preserve"/>
      </w:r>
    </w:p>
    <w:p>
      <w:pPr>
        <w:spacing w:after="160" w:line="276"/>
        <w:jc w:val="center"/>
      </w:pPr>
      <w:r>
        <w:rPr>
          <w:rFonts w:ascii="Calibri" w:cs="Calibri" w:eastAsia="Calibri" w:hAnsi="Calibri"/>
          <w:b/>
          <w:bCs/>
          <w:i w:val="false"/>
          <w:iCs w:val="false"/>
          <w:color w:val="1B3A5C"/>
          <w:sz w:val="36"/>
          <w:szCs w:val="36"/>
        </w:rPr>
        <w:t xml:space="preserve">After-Action Report</w:t>
      </w:r>
    </w:p>
    <w:p>
      <w:pPr>
        <w:spacing w:after="200"/>
      </w:pPr>
      <w:r>
        <w:rPr>
          <w:sz w:val="21"/>
          <w:szCs w:val="21"/>
        </w:rPr>
        <w:t xml:space="preserve"/>
      </w:r>
    </w:p>
    <w:p>
      <w:pPr>
        <w:pBdr>
          <w:bottom w:val="single" w:color="2E5F8A" w:sz="6"/>
        </w:pBdr>
        <w:spacing w:after="200"/>
      </w:pPr>
      <w:r>
        <w:rPr>
          <w:sz w:val="2"/>
          <w:szCs w:val="2"/>
        </w:rPr>
        <w:t xml:space="preserve"/>
      </w:r>
    </w:p>
    <w:p>
      <w:pPr>
        <w:spacing w:after="200"/>
      </w:pPr>
      <w:r>
        <w:rPr>
          <w:sz w:val="21"/>
          <w:szCs w:val="21"/>
        </w:rPr>
        <w:t xml:space="preserve"/>
      </w:r>
    </w:p>
    <w:p>
      <w:pPr>
        <w:spacing w:after="160" w:line="276"/>
        <w:jc w:val="center"/>
      </w:pPr>
      <w:r>
        <w:rPr>
          <w:rFonts w:ascii="Calibri" w:cs="Calibri" w:eastAsia="Calibri" w:hAnsi="Calibri"/>
          <w:b/>
          <w:bCs/>
          <w:i w:val="false"/>
          <w:iCs w:val="false"/>
          <w:color w:val="333333"/>
          <w:sz w:val="30"/>
          <w:szCs w:val="30"/>
        </w:rPr>
        <w:t xml:space="preserve">Meridian Property Group, LLC</w:t>
      </w:r>
    </w:p>
    <w:p>
      <w:pPr>
        <w:spacing w:after="160" w:line="276"/>
        <w:jc w:val="center"/>
      </w:pPr>
      <w:r>
        <w:rPr>
          <w:rFonts w:ascii="Calibri" w:cs="Calibri" w:eastAsia="Calibri" w:hAnsi="Calibri"/>
          <w:b w:val="false"/>
          <w:bCs w:val="false"/>
          <w:i w:val="false"/>
          <w:iCs w:val="false"/>
          <w:color w:val="666666"/>
          <w:sz w:val="26"/>
          <w:szCs w:val="26"/>
        </w:rPr>
        <w:t xml:space="preserve">Extended Infrastructure Outage Exercise</w:t>
      </w:r>
    </w:p>
    <w:p>
      <w:pPr>
        <w:spacing w:after="100"/>
      </w:pPr>
      <w:r>
        <w:rPr>
          <w:sz w:val="21"/>
          <w:szCs w:val="21"/>
        </w:rPr>
        <w:t xml:space="preserve"/>
      </w:r>
    </w:p>
    <w:p>
      <w:pPr>
        <w:spacing w:after="160" w:line="276"/>
        <w:jc w:val="center"/>
      </w:pPr>
      <w:r>
        <w:rPr>
          <w:rFonts w:ascii="Calibri" w:cs="Calibri" w:eastAsia="Calibri" w:hAnsi="Calibri"/>
          <w:b w:val="false"/>
          <w:bCs w:val="false"/>
          <w:i w:val="false"/>
          <w:iCs w:val="false"/>
          <w:color w:val="666666"/>
          <w:sz w:val="22"/>
          <w:szCs w:val="22"/>
        </w:rPr>
        <w:t xml:space="preserve">Exercise Date: June 12, 2026</w:t>
      </w:r>
    </w:p>
    <w:p>
      <w:pPr>
        <w:spacing w:after="160" w:line="276"/>
        <w:jc w:val="center"/>
      </w:pPr>
      <w:r>
        <w:rPr>
          <w:rFonts w:ascii="Calibri" w:cs="Calibri" w:eastAsia="Calibri" w:hAnsi="Calibri"/>
          <w:b w:val="false"/>
          <w:bCs w:val="false"/>
          <w:i w:val="false"/>
          <w:iCs w:val="false"/>
          <w:color w:val="666666"/>
          <w:sz w:val="22"/>
          <w:szCs w:val="22"/>
        </w:rPr>
        <w:t xml:space="preserve">Report Date: June 26, 2026</w:t>
      </w:r>
    </w:p>
    <w:p>
      <w:pPr>
        <w:spacing w:after="200"/>
      </w:pPr>
      <w:r>
        <w:rPr>
          <w:sz w:val="21"/>
          <w:szCs w:val="21"/>
        </w:rPr>
        <w:t xml:space="preserve"/>
      </w:r>
    </w:p>
    <w:p>
      <w:pPr>
        <w:pBdr>
          <w:bottom w:val="single" w:color="2E5F8A" w:sz="6"/>
        </w:pBdr>
        <w:spacing w:after="200"/>
      </w:pPr>
      <w:r>
        <w:rPr>
          <w:sz w:val="2"/>
          <w:szCs w:val="2"/>
        </w:rPr>
        <w:t xml:space="preserve"/>
      </w:r>
    </w:p>
    <w:p>
      <w:pPr>
        <w:spacing w:after="100"/>
      </w:pPr>
      <w:r>
        <w:rPr>
          <w:sz w:val="21"/>
          <w:szCs w:val="21"/>
        </w:rPr>
        <w:t xml:space="preserve"/>
      </w:r>
    </w:p>
    <w:p>
      <w:pPr>
        <w:spacing w:after="160" w:line="276"/>
        <w:jc w:val="center"/>
      </w:pPr>
      <w:r>
        <w:rPr>
          <w:rFonts w:ascii="Calibri" w:cs="Calibri" w:eastAsia="Calibri" w:hAnsi="Calibri"/>
          <w:b w:val="false"/>
          <w:bCs w:val="false"/>
          <w:i/>
          <w:iCs/>
          <w:color w:val="666666"/>
          <w:sz w:val="20"/>
          <w:szCs w:val="20"/>
        </w:rPr>
        <w:t xml:space="preserve">Prepared by:</w:t>
      </w:r>
    </w:p>
    <w:p>
      <w:pPr>
        <w:spacing w:after="160" w:line="276"/>
        <w:jc w:val="center"/>
      </w:pPr>
      <w:r>
        <w:rPr>
          <w:rFonts w:ascii="Calibri" w:cs="Calibri" w:eastAsia="Calibri" w:hAnsi="Calibri"/>
          <w:b/>
          <w:bCs/>
          <w:i w:val="false"/>
          <w:iCs w:val="false"/>
          <w:color w:val="1B3A5C"/>
          <w:sz w:val="24"/>
          <w:szCs w:val="24"/>
        </w:rPr>
        <w:t xml:space="preserve">[YOUR ORGANIZATION NAME]</w:t>
      </w:r>
    </w:p>
    <w:p>
      <w:pPr>
        <w:spacing w:after="200"/>
      </w:pPr>
      <w:r>
        <w:rPr>
          <w:sz w:val="21"/>
          <w:szCs w:val="21"/>
        </w:rPr>
        <w:t xml:space="preserve"/>
      </w:r>
    </w:p>
    <w:p>
      <w:pPr>
        <w:spacing w:after="160" w:line="276"/>
        <w:jc w:val="center"/>
      </w:pPr>
      <w:r>
        <w:rPr>
          <w:rFonts w:ascii="Calibri" w:cs="Calibri" w:eastAsia="Calibri" w:hAnsi="Calibri"/>
          <w:b/>
          <w:bCs/>
          <w:i w:val="false"/>
          <w:iCs w:val="false"/>
          <w:color w:val="C0392B"/>
          <w:sz w:val="40"/>
          <w:szCs w:val="40"/>
        </w:rPr>
        <w:t xml:space="preserve">SAMPLE</w:t>
      </w:r>
    </w:p>
    <w:p>
      <w:pPr>
        <w:spacing w:after="100"/>
      </w:pPr>
      <w:r>
        <w:rPr>
          <w:sz w:val="21"/>
          <w:szCs w:val="21"/>
        </w:rPr>
        <w:t xml:space="preserve"/>
      </w:r>
    </w:p>
    <w:p>
      <w:pPr>
        <w:spacing w:after="160" w:line="276"/>
        <w:jc w:val="center"/>
      </w:pPr>
      <w:r>
        <w:rPr>
          <w:rFonts w:ascii="Calibri" w:cs="Calibri" w:eastAsia="Calibri" w:hAnsi="Calibri"/>
          <w:b w:val="false"/>
          <w:bCs w:val="false"/>
          <w:i/>
          <w:iCs/>
          <w:color w:val="666666"/>
          <w:sz w:val="18"/>
          <w:szCs w:val="18"/>
        </w:rPr>
        <w:t xml:space="preserve">Distribution: Limited to authorized recipients only</w:t>
      </w:r>
    </w:p>
    <w:p>
      <w:r>
        <w:br w:type="page"/>
      </w:r>
    </w:p>
    <w:p>
      <w:pPr>
        <w:pBdr>
          <w:top w:val="single" w:color="E67E22" w:sz="6"/>
          <w:bottom w:val="single" w:color="E67E22" w:sz="6"/>
          <w:left w:val="single" w:color="E67E22" w:sz="6"/>
          <w:right w:val="single" w:color="E67E22" w:sz="6"/>
        </w:pBdr>
        <w:shd w:fill="FFF8E1" w:val="clear"/>
        <w:spacing w:after="200" w:before="200"/>
        <w:ind w:left="200" w:right="200"/>
      </w:pPr>
      <w:r>
        <w:rPr>
          <w:rFonts w:ascii="Calibri" w:cs="Calibri" w:eastAsia="Calibri" w:hAnsi="Calibri"/>
          <w:b/>
          <w:bCs/>
          <w:color w:val="333333"/>
          <w:sz w:val="20"/>
          <w:szCs w:val="20"/>
        </w:rPr>
        <w:t xml:space="preserve">SAMPLE DOCUMENT .  THIS IS A SAMPLE AAR provided as a quality reference. It demonstrates the expected structure, tone, depth, and calibration of a complete Pulse Check After-Action Report. Replace all content with your actual engagement data.</w:t>
      </w:r>
    </w:p>
    <w:p>
      <w:pPr>
        <w:spacing w:after="100"/>
      </w:pPr>
      <w:r>
        <w:rPr>
          <w:sz w:val="21"/>
          <w:szCs w:val="21"/>
        </w:rPr>
        <w:t xml:space="preserve"/>
      </w:r>
    </w:p>
    <w:p>
      <w:pPr>
        <w:pStyle w:val="Heading1"/>
        <w:spacing w:after="200" w:before="360"/>
      </w:pPr>
      <w:r>
        <w:rPr>
          <w:rFonts w:ascii="Calibri" w:cs="Calibri" w:eastAsia="Calibri" w:hAnsi="Calibri"/>
          <w:b/>
          <w:bCs/>
          <w:color w:val="1B3A5C"/>
          <w:sz w:val="28"/>
          <w:szCs w:val="28"/>
        </w:rPr>
        <w:t xml:space="preserve">Table of Contents</w:t>
      </w:r>
    </w:p>
    <w:p>
      <w:pPr>
        <w:spacing w:after="160" w:line="276"/>
        <w:ind w:left="360"/>
        <w:jc w:val="left"/>
      </w:pPr>
      <w:r>
        <w:rPr>
          <w:rFonts w:ascii="Calibri" w:cs="Calibri" w:eastAsia="Calibri" w:hAnsi="Calibri"/>
          <w:b w:val="false"/>
          <w:bCs w:val="false"/>
          <w:i w:val="false"/>
          <w:iCs w:val="false"/>
          <w:color w:val="333333"/>
          <w:sz w:val="21"/>
          <w:szCs w:val="21"/>
        </w:rPr>
        <w:t xml:space="preserve">1. Executive Summary</w:t>
      </w:r>
    </w:p>
    <w:p>
      <w:pPr>
        <w:spacing w:after="160" w:line="276"/>
        <w:ind w:left="360"/>
        <w:jc w:val="left"/>
      </w:pPr>
      <w:r>
        <w:rPr>
          <w:rFonts w:ascii="Calibri" w:cs="Calibri" w:eastAsia="Calibri" w:hAnsi="Calibri"/>
          <w:b w:val="false"/>
          <w:bCs w:val="false"/>
          <w:i w:val="false"/>
          <w:iCs w:val="false"/>
          <w:color w:val="333333"/>
          <w:sz w:val="21"/>
          <w:szCs w:val="21"/>
        </w:rPr>
        <w:t xml:space="preserve">2. Exercise Overview and Methodology</w:t>
      </w:r>
    </w:p>
    <w:p>
      <w:pPr>
        <w:spacing w:after="160" w:line="276"/>
        <w:ind w:left="360"/>
        <w:jc w:val="left"/>
      </w:pPr>
      <w:r>
        <w:rPr>
          <w:rFonts w:ascii="Calibri" w:cs="Calibri" w:eastAsia="Calibri" w:hAnsi="Calibri"/>
          <w:b w:val="false"/>
          <w:bCs w:val="false"/>
          <w:i w:val="false"/>
          <w:iCs w:val="false"/>
          <w:color w:val="333333"/>
          <w:sz w:val="21"/>
          <w:szCs w:val="21"/>
        </w:rPr>
        <w:t xml:space="preserve">3. Objectives, Scope, and Limitations</w:t>
      </w:r>
    </w:p>
    <w:p>
      <w:pPr>
        <w:spacing w:after="160" w:line="276"/>
        <w:ind w:left="360"/>
        <w:jc w:val="left"/>
      </w:pPr>
      <w:r>
        <w:rPr>
          <w:rFonts w:ascii="Calibri" w:cs="Calibri" w:eastAsia="Calibri" w:hAnsi="Calibri"/>
          <w:b w:val="false"/>
          <w:bCs w:val="false"/>
          <w:i w:val="false"/>
          <w:iCs w:val="false"/>
          <w:color w:val="333333"/>
          <w:sz w:val="21"/>
          <w:szCs w:val="21"/>
        </w:rPr>
        <w:t xml:space="preserve">4. Participant Summary</w:t>
      </w:r>
    </w:p>
    <w:p>
      <w:pPr>
        <w:spacing w:after="160" w:line="276"/>
        <w:ind w:left="360"/>
        <w:jc w:val="left"/>
      </w:pPr>
      <w:r>
        <w:rPr>
          <w:rFonts w:ascii="Calibri" w:cs="Calibri" w:eastAsia="Calibri" w:hAnsi="Calibri"/>
          <w:b w:val="false"/>
          <w:bCs w:val="false"/>
          <w:i w:val="false"/>
          <w:iCs w:val="false"/>
          <w:color w:val="333333"/>
          <w:sz w:val="21"/>
          <w:szCs w:val="21"/>
        </w:rPr>
        <w:t xml:space="preserve">5. Scenario Summary</w:t>
      </w:r>
    </w:p>
    <w:p>
      <w:pPr>
        <w:spacing w:after="160" w:line="276"/>
        <w:ind w:left="360"/>
        <w:jc w:val="left"/>
      </w:pPr>
      <w:r>
        <w:rPr>
          <w:rFonts w:ascii="Calibri" w:cs="Calibri" w:eastAsia="Calibri" w:hAnsi="Calibri"/>
          <w:b w:val="false"/>
          <w:bCs w:val="false"/>
          <w:i w:val="false"/>
          <w:iCs w:val="false"/>
          <w:color w:val="333333"/>
          <w:sz w:val="21"/>
          <w:szCs w:val="21"/>
        </w:rPr>
        <w:t xml:space="preserve">6. Findings and Recommendations</w:t>
      </w:r>
    </w:p>
    <w:p>
      <w:pPr>
        <w:spacing w:after="160" w:line="276"/>
        <w:ind w:left="360"/>
        <w:jc w:val="left"/>
      </w:pPr>
      <w:r>
        <w:rPr>
          <w:rFonts w:ascii="Calibri" w:cs="Calibri" w:eastAsia="Calibri" w:hAnsi="Calibri"/>
          <w:b w:val="false"/>
          <w:bCs w:val="false"/>
          <w:i w:val="false"/>
          <w:iCs w:val="false"/>
          <w:color w:val="333333"/>
          <w:sz w:val="21"/>
          <w:szCs w:val="21"/>
        </w:rPr>
        <w:t xml:space="preserve">7. Strengths Summary</w:t>
      </w:r>
    </w:p>
    <w:p>
      <w:pPr>
        <w:spacing w:after="160" w:line="276"/>
        <w:ind w:left="360"/>
        <w:jc w:val="left"/>
      </w:pPr>
      <w:r>
        <w:rPr>
          <w:rFonts w:ascii="Calibri" w:cs="Calibri" w:eastAsia="Calibri" w:hAnsi="Calibri"/>
          <w:b w:val="false"/>
          <w:bCs w:val="false"/>
          <w:i w:val="false"/>
          <w:iCs w:val="false"/>
          <w:color w:val="333333"/>
          <w:sz w:val="21"/>
          <w:szCs w:val="21"/>
        </w:rPr>
        <w:t xml:space="preserve">8. Findings Summary Matrix</w:t>
      </w:r>
    </w:p>
    <w:p>
      <w:pPr>
        <w:spacing w:after="160" w:line="276"/>
        <w:ind w:left="360"/>
        <w:jc w:val="left"/>
      </w:pPr>
      <w:r>
        <w:rPr>
          <w:rFonts w:ascii="Calibri" w:cs="Calibri" w:eastAsia="Calibri" w:hAnsi="Calibri"/>
          <w:b w:val="false"/>
          <w:bCs w:val="false"/>
          <w:i w:val="false"/>
          <w:iCs w:val="false"/>
          <w:color w:val="333333"/>
          <w:sz w:val="21"/>
          <w:szCs w:val="21"/>
        </w:rPr>
        <w:t xml:space="preserve">9. Remediation Roadmap</w:t>
      </w:r>
    </w:p>
    <w:p>
      <w:pPr>
        <w:spacing w:after="160" w:line="276"/>
        <w:ind w:left="360"/>
        <w:jc w:val="left"/>
      </w:pPr>
      <w:r>
        <w:rPr>
          <w:rFonts w:ascii="Calibri" w:cs="Calibri" w:eastAsia="Calibri" w:hAnsi="Calibri"/>
          <w:b w:val="false"/>
          <w:bCs w:val="false"/>
          <w:i w:val="false"/>
          <w:iCs w:val="false"/>
          <w:color w:val="333333"/>
          <w:sz w:val="21"/>
          <w:szCs w:val="21"/>
        </w:rPr>
        <w:t xml:space="preserve">10. Conclusion and Next Steps</w:t>
      </w:r>
    </w:p>
    <w:p>
      <w:pPr>
        <w:spacing w:after="160" w:line="276"/>
        <w:ind w:left="360"/>
        <w:jc w:val="left"/>
      </w:pPr>
      <w:r>
        <w:rPr>
          <w:rFonts w:ascii="Calibri" w:cs="Calibri" w:eastAsia="Calibri" w:hAnsi="Calibri"/>
          <w:b w:val="false"/>
          <w:bCs w:val="false"/>
          <w:i w:val="false"/>
          <w:iCs w:val="false"/>
          <w:color w:val="333333"/>
          <w:sz w:val="21"/>
          <w:szCs w:val="21"/>
        </w:rPr>
        <w:t xml:space="preserve">11. Legal Status, Privilege, and Distribution</w:t>
      </w:r>
    </w:p>
    <w:p>
      <w:pPr>
        <w:spacing w:after="160" w:line="276"/>
        <w:ind w:left="360"/>
        <w:jc w:val="left"/>
      </w:pPr>
      <w:r>
        <w:rPr>
          <w:rFonts w:ascii="Calibri" w:cs="Calibri" w:eastAsia="Calibri" w:hAnsi="Calibri"/>
          <w:b w:val="false"/>
          <w:bCs w:val="false"/>
          <w:i w:val="false"/>
          <w:iCs w:val="false"/>
          <w:color w:val="333333"/>
          <w:sz w:val="21"/>
          <w:szCs w:val="21"/>
        </w:rPr>
        <w:t xml:space="preserve">Appendix A: Improvement Plan</w:t>
      </w:r>
    </w:p>
    <w:p>
      <w:pPr>
        <w:spacing w:after="160" w:line="276"/>
        <w:ind w:left="360"/>
        <w:jc w:val="left"/>
      </w:pPr>
      <w:r>
        <w:rPr>
          <w:rFonts w:ascii="Calibri" w:cs="Calibri" w:eastAsia="Calibri" w:hAnsi="Calibri"/>
          <w:b w:val="false"/>
          <w:bCs w:val="false"/>
          <w:i w:val="false"/>
          <w:iCs w:val="false"/>
          <w:color w:val="333333"/>
          <w:sz w:val="21"/>
          <w:szCs w:val="21"/>
        </w:rPr>
        <w:t xml:space="preserve">Appendix B: Participant Roster</w:t>
      </w:r>
    </w:p>
    <w:p>
      <w:pPr>
        <w:spacing w:after="160" w:line="276"/>
        <w:ind w:left="360"/>
        <w:jc w:val="left"/>
      </w:pPr>
      <w:r>
        <w:rPr>
          <w:rFonts w:ascii="Calibri" w:cs="Calibri" w:eastAsia="Calibri" w:hAnsi="Calibri"/>
          <w:b w:val="false"/>
          <w:bCs w:val="false"/>
          <w:i w:val="false"/>
          <w:iCs w:val="false"/>
          <w:color w:val="333333"/>
          <w:sz w:val="21"/>
          <w:szCs w:val="21"/>
        </w:rPr>
        <w:t xml:space="preserve">Appendix C: Acronyms and Abbreviations</w:t>
      </w:r>
    </w:p>
    <w:p>
      <w:r>
        <w:br w:type="page"/>
      </w:r>
    </w:p>
    <w:p>
      <w:pPr>
        <w:pStyle w:val="Heading1"/>
        <w:spacing w:after="200" w:before="360"/>
      </w:pPr>
      <w:r>
        <w:rPr>
          <w:rFonts w:ascii="Calibri" w:cs="Calibri" w:eastAsia="Calibri" w:hAnsi="Calibri"/>
          <w:b/>
          <w:bCs/>
          <w:color w:val="1B3A5C"/>
          <w:sz w:val="28"/>
          <w:szCs w:val="28"/>
        </w:rPr>
        <w:t xml:space="preserve">1. Executive Summary</w:t>
      </w:r>
    </w:p>
    <w:p>
      <w:pPr>
        <w:spacing w:after="160" w:line="276"/>
        <w:jc w:val="left"/>
      </w:pPr>
      <w:r>
        <w:rPr>
          <w:rFonts w:ascii="Calibri" w:cs="Calibri" w:eastAsia="Calibri" w:hAnsi="Calibri"/>
          <w:b w:val="false"/>
          <w:bCs w:val="false"/>
          <w:i w:val="false"/>
          <w:iCs w:val="false"/>
          <w:color w:val="333333"/>
          <w:sz w:val="21"/>
          <w:szCs w:val="21"/>
        </w:rPr>
        <w:t xml:space="preserve">On June 12, 2026, Meridian Property Group, LLC ("Meridian") conducted its first-ever business resilience tabletop exercise at its regional headquarters. The exercise explored an extended infrastructure outage scenario affecting the company's headquarters and six of its twenty-eight managed properties. Twelve members of Meridian's leadership and management team participated in a facilitated, discussion-based exercise lasting approximately two hours and thirty-five minutes.</w:t>
      </w:r>
    </w:p>
    <w:p>
      <w:pPr>
        <w:spacing w:after="160" w:line="276"/>
        <w:jc w:val="left"/>
      </w:pPr>
      <w:r>
        <w:rPr>
          <w:rFonts w:ascii="Calibri" w:cs="Calibri" w:eastAsia="Calibri" w:hAnsi="Calibri"/>
          <w:b/>
          <w:bCs/>
          <w:i w:val="false"/>
          <w:iCs w:val="false"/>
          <w:color w:val="333333"/>
          <w:sz w:val="21"/>
          <w:szCs w:val="21"/>
        </w:rPr>
        <w:t xml:space="preserve">Overall Assessment: </w:t>
      </w:r>
      <w:r>
        <w:rPr>
          <w:rFonts w:ascii="Calibri" w:cs="Calibri" w:eastAsia="Calibri" w:hAnsi="Calibri"/>
          <w:b w:val="false"/>
          <w:bCs w:val="false"/>
          <w:i w:val="false"/>
          <w:iCs w:val="false"/>
          <w:color w:val="333333"/>
          <w:sz w:val="21"/>
          <w:szCs w:val="21"/>
        </w:rPr>
        <w:t xml:space="preserve">Meridian demonstrated strong interpersonal coordination, leadership engagement, and a notable willingness to honestly assess its own preparedness. However, the exercise revealed significant gaps in documented procedures, communication protocols, and single-point-of-failure dependencies that would materially impair the organization's ability to maintain operations during an extended disruption.</w:t>
      </w:r>
    </w:p>
    <w:p>
      <w:pPr>
        <w:spacing w:after="160" w:line="276"/>
        <w:jc w:val="left"/>
      </w:pPr>
      <w:r>
        <w:rPr>
          <w:rFonts w:ascii="Calibri" w:cs="Calibri" w:eastAsia="Calibri" w:hAnsi="Calibri"/>
          <w:b/>
          <w:bCs/>
          <w:i w:val="false"/>
          <w:iCs w:val="false"/>
          <w:color w:val="333333"/>
          <w:sz w:val="21"/>
          <w:szCs w:val="21"/>
        </w:rPr>
        <w:t xml:space="preserve">Key Findings: </w:t>
      </w:r>
      <w:r>
        <w:rPr>
          <w:rFonts w:ascii="Calibri" w:cs="Calibri" w:eastAsia="Calibri" w:hAnsi="Calibri"/>
          <w:b w:val="false"/>
          <w:bCs w:val="false"/>
          <w:i w:val="false"/>
          <w:iCs w:val="false"/>
          <w:color w:val="333333"/>
          <w:sz w:val="21"/>
          <w:szCs w:val="21"/>
        </w:rPr>
        <w:t xml:space="preserve">The exercise identified twelve findings, including two rated Critical, three rated High, four rated Medium, and three documented strengths. The two Critical findings ,  the absence of a documented business continuity plan and the concentration of all IT knowledge in a single individual ,  represent foundational gaps that amplify every other risk identified. Three strength findings confirm that Meridian's organizational culture, leadership engagement, and cross-departmental coordination provide a strong foundation on which to build a formal resilience program.</w:t>
      </w:r>
    </w:p>
    <w:p>
      <w:pPr>
        <w:pStyle w:val="Heading2"/>
        <w:spacing w:after="160" w:before="280"/>
      </w:pPr>
      <w:r>
        <w:rPr>
          <w:rFonts w:ascii="Calibri" w:cs="Calibri" w:eastAsia="Calibri" w:hAnsi="Calibri"/>
          <w:b/>
          <w:bCs/>
          <w:color w:val="2E5F8A"/>
          <w:sz w:val="24"/>
          <w:szCs w:val="24"/>
        </w:rPr>
        <w:t xml:space="preserve">Top Strengths</w:t>
      </w:r>
    </w:p>
    <w:p>
      <w:pPr>
        <w:spacing w:after="160" w:line="276"/>
        <w:jc w:val="left"/>
      </w:pPr>
      <w:r>
        <w:rPr>
          <w:rFonts w:ascii="Calibri" w:cs="Calibri" w:eastAsia="Calibri" w:hAnsi="Calibri"/>
          <w:b w:val="false"/>
          <w:bCs w:val="false"/>
          <w:i w:val="false"/>
          <w:iCs w:val="false"/>
          <w:color w:val="333333"/>
          <w:sz w:val="21"/>
          <w:szCs w:val="21"/>
        </w:rPr>
        <w:t xml:space="preserve">Leadership demonstrated active engagement throughout the exercise, making clear decisions and soliciting input across functional areas. Cross-departmental coordination occurred organically, with participants from HR, maintenance, leasing, and operations proactively raising concerns and collaborating on solutions. Participants openly acknowledged gaps without defensiveness, creating a productive environment for honest self-assessment.</w:t>
      </w:r>
    </w:p>
    <w:p>
      <w:pPr>
        <w:pStyle w:val="Heading2"/>
        <w:spacing w:after="160" w:before="280"/>
      </w:pPr>
      <w:r>
        <w:rPr>
          <w:rFonts w:ascii="Calibri" w:cs="Calibri" w:eastAsia="Calibri" w:hAnsi="Calibri"/>
          <w:b/>
          <w:bCs/>
          <w:color w:val="2E5F8A"/>
          <w:sz w:val="24"/>
          <w:szCs w:val="24"/>
        </w:rPr>
        <w:t xml:space="preserve">Scope Limitation</w:t>
      </w:r>
    </w:p>
    <w:p>
      <w:pPr>
        <w:pBdr>
          <w:top w:val="single" w:color="2E5F8A" w:sz="4"/>
          <w:bottom w:val="single" w:color="2E5F8A" w:sz="4"/>
          <w:left w:val="single" w:color="2E5F8A" w:sz="4"/>
          <w:right w:val="single" w:color="2E5F8A" w:sz="4"/>
        </w:pBdr>
        <w:shd w:fill="E8F0FE" w:val="clear"/>
        <w:spacing w:after="200" w:before="100"/>
        <w:ind w:left="200" w:right="200"/>
      </w:pPr>
      <w:r>
        <w:rPr>
          <w:rFonts w:ascii="Calibri" w:cs="Calibri" w:eastAsia="Calibri" w:hAnsi="Calibri"/>
          <w:i/>
          <w:iCs/>
          <w:color w:val="333333"/>
          <w:sz w:val="20"/>
          <w:szCs w:val="20"/>
        </w:rPr>
        <w:t xml:space="preserve">This report reflects observations from a single scenario-driven tabletop exercise conducted over approximately 2.5 hours. It evaluates organizational decision-making and coordination as demonstrated during the exercise discussion. It does not evaluate the full breadth of Meridian Property Group's technology environment, administrative processes, or operational resilience. The absence of a finding in an untested area is not evidence that no gap exists.</w:t>
      </w:r>
    </w:p>
    <w:p>
      <w:r>
        <w:br w:type="page"/>
      </w:r>
    </w:p>
    <w:p>
      <w:pPr>
        <w:pStyle w:val="Heading1"/>
        <w:spacing w:after="200" w:before="360"/>
      </w:pPr>
      <w:r>
        <w:rPr>
          <w:rFonts w:ascii="Calibri" w:cs="Calibri" w:eastAsia="Calibri" w:hAnsi="Calibri"/>
          <w:b/>
          <w:bCs/>
          <w:color w:val="1B3A5C"/>
          <w:sz w:val="28"/>
          <w:szCs w:val="28"/>
        </w:rPr>
        <w:t xml:space="preserve">2. Exercise Overview and Methodology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rPr>
          <w:tblHeader/>
        </w:trPr>
        <w:tc>
          <w:tcPr>
            <w:tcW w:type="dxa" w:w="2800"/>
            <w:shd w:fill="1B3A5C" w:val="clear"/>
            <w:vAlign w:val="center"/>
          </w:tcPr>
          <w:p>
            <w:pPr>
              <w:spacing w:after="40" w:before="40"/>
            </w:pPr>
            <w:r>
              <w:rPr>
                <w:rFonts w:ascii="Calibri" w:cs="Calibri" w:eastAsia="Calibri" w:hAnsi="Calibri"/>
                <w:b/>
                <w:bCs/>
                <w:color w:val="FFFFFF"/>
                <w:sz w:val="19"/>
                <w:szCs w:val="19"/>
              </w:rPr>
              <w:t xml:space="preserve">Element</w:t>
            </w:r>
          </w:p>
        </w:tc>
        <w:tc>
          <w:tcPr>
            <w:tcW w:type="dxa" w:w="6560"/>
            <w:shd w:fill="1B3A5C" w:val="clear"/>
            <w:vAlign w:val="center"/>
          </w:tcPr>
          <w:p>
            <w:pPr>
              <w:spacing w:after="40" w:before="40"/>
            </w:pPr>
            <w:r>
              <w:rPr>
                <w:rFonts w:ascii="Calibri" w:cs="Calibri" w:eastAsia="Calibri" w:hAnsi="Calibri"/>
                <w:b/>
                <w:bCs/>
                <w:color w:val="FFFFFF"/>
                <w:sz w:val="19"/>
                <w:szCs w:val="19"/>
              </w:rPr>
              <w:t xml:space="preserve">Detail</w:t>
            </w:r>
          </w:p>
        </w:tc>
      </w:tr>
      <w:tr>
        <w:tc>
          <w:tcPr>
            <w:tcW w:type="dxa" w:w="2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Exercise Type</w:t>
            </w:r>
          </w:p>
        </w:tc>
        <w:tc>
          <w:tcPr>
            <w:tcW w:type="dxa" w:w="6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Discussion-based tabletop exercise</w:t>
            </w:r>
          </w:p>
        </w:tc>
      </w:tr>
      <w:tr>
        <w:tc>
          <w:tcPr>
            <w:tcW w:type="dxa" w:w="2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Methodology</w:t>
            </w:r>
          </w:p>
        </w:tc>
        <w:tc>
          <w:tcPr>
            <w:tcW w:type="dxa" w:w="6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Aligned to HSEEP (Homeland Security Exercise and Evaluation Program)</w:t>
            </w:r>
          </w:p>
        </w:tc>
      </w:tr>
      <w:tr>
        <w:tc>
          <w:tcPr>
            <w:tcW w:type="dxa" w:w="2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Duration</w:t>
            </w:r>
          </w:p>
        </w:tc>
        <w:tc>
          <w:tcPr>
            <w:tcW w:type="dxa" w:w="6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2 hours, 35 minutes</w:t>
            </w:r>
          </w:p>
        </w:tc>
      </w:tr>
      <w:tr>
        <w:tc>
          <w:tcPr>
            <w:tcW w:type="dxa" w:w="2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Date</w:t>
            </w:r>
          </w:p>
        </w:tc>
        <w:tc>
          <w:tcPr>
            <w:tcW w:type="dxa" w:w="6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June 12, 2026</w:t>
            </w:r>
          </w:p>
        </w:tc>
      </w:tr>
      <w:tr>
        <w:tc>
          <w:tcPr>
            <w:tcW w:type="dxa" w:w="2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Format</w:t>
            </w:r>
          </w:p>
        </w:tc>
        <w:tc>
          <w:tcPr>
            <w:tcW w:type="dxa" w:w="6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In-person at Meridian Property Group headquarters conference room</w:t>
            </w:r>
          </w:p>
        </w:tc>
      </w:tr>
      <w:tr>
        <w:tc>
          <w:tcPr>
            <w:tcW w:type="dxa" w:w="2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Delivery Team</w:t>
            </w:r>
          </w:p>
        </w:tc>
        <w:tc>
          <w:tcPr>
            <w:tcW w:type="dxa" w:w="6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1 lead facilitator, 1 dedicated observer</w:t>
            </w:r>
          </w:p>
        </w:tc>
      </w:tr>
      <w:tr>
        <w:tc>
          <w:tcPr>
            <w:tcW w:type="dxa" w:w="2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Scenario</w:t>
            </w:r>
          </w:p>
        </w:tc>
        <w:tc>
          <w:tcPr>
            <w:tcW w:type="dxa" w:w="6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Extended infrastructure outage (48+ hours) affecting headquarters and regional properties</w:t>
            </w:r>
          </w:p>
        </w:tc>
      </w:tr>
      <w:tr>
        <w:tc>
          <w:tcPr>
            <w:tcW w:type="dxa" w:w="2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Scenario Driver</w:t>
            </w:r>
          </w:p>
        </w:tc>
        <w:tc>
          <w:tcPr>
            <w:tcW w:type="dxa" w:w="6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Severe weather event resulting in sustained utility failure</w:t>
            </w:r>
          </w:p>
        </w:tc>
      </w:tr>
      <w:tr>
        <w:tc>
          <w:tcPr>
            <w:tcW w:type="dxa" w:w="2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Participants</w:t>
            </w:r>
          </w:p>
        </w:tc>
        <w:tc>
          <w:tcPr>
            <w:tcW w:type="dxa" w:w="6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12 members of the Meridian leadership and management team</w:t>
            </w:r>
          </w:p>
        </w:tc>
      </w:tr>
    </w:tbl>
    <w:p>
      <w:pPr>
        <w:spacing w:after="120"/>
      </w:pPr>
      <w:r>
        <w:rPr>
          <w:sz w:val="21"/>
          <w:szCs w:val="21"/>
        </w:rPr>
        <w:t xml:space="preserve"/>
      </w:r>
    </w:p>
    <w:p>
      <w:pPr>
        <w:spacing w:after="160" w:line="276"/>
        <w:jc w:val="left"/>
      </w:pPr>
      <w:r>
        <w:rPr>
          <w:rFonts w:ascii="Calibri" w:cs="Calibri" w:eastAsia="Calibri" w:hAnsi="Calibri"/>
          <w:b w:val="false"/>
          <w:bCs w:val="false"/>
          <w:i w:val="false"/>
          <w:iCs w:val="false"/>
          <w:color w:val="333333"/>
          <w:sz w:val="21"/>
          <w:szCs w:val="21"/>
        </w:rPr>
        <w:t xml:space="preserve">The exercise was facilitated using a structured, three-module scenario that introduced escalating challenges over a simulated 48+ hour timeline. Each module presented new information and decision points, requiring participants to discuss and coordinate their organizational response in real time. The facilitator guided discussion to ensure all objectives were addressed while allowing organic conversation to reveal the organization's natural decision-making patterns and coordination dynamics.</w:t>
      </w:r>
    </w:p>
    <w:p>
      <w:pPr>
        <w:spacing w:after="160" w:line="276"/>
        <w:jc w:val="left"/>
      </w:pPr>
      <w:r>
        <w:rPr>
          <w:rFonts w:ascii="Calibri" w:cs="Calibri" w:eastAsia="Calibri" w:hAnsi="Calibri"/>
          <w:b w:val="false"/>
          <w:bCs w:val="false"/>
          <w:i w:val="false"/>
          <w:iCs w:val="false"/>
          <w:color w:val="333333"/>
          <w:sz w:val="21"/>
          <w:szCs w:val="21"/>
        </w:rPr>
        <w:t xml:space="preserve">A dedicated observer documented participant responses, decision-making processes, identified gaps, and notable strengths throughout the exercise. Observations were captured using a structured observation template aligned to the exercise objectives and NIST Cybersecurity Framework 2.0 functional categories.</w:t>
      </w:r>
    </w:p>
    <w:p>
      <w:r>
        <w:br w:type="page"/>
      </w:r>
    </w:p>
    <w:p>
      <w:pPr>
        <w:pStyle w:val="Heading1"/>
        <w:spacing w:after="200" w:before="360"/>
      </w:pPr>
      <w:r>
        <w:rPr>
          <w:rFonts w:ascii="Calibri" w:cs="Calibri" w:eastAsia="Calibri" w:hAnsi="Calibri"/>
          <w:b/>
          <w:bCs/>
          <w:color w:val="1B3A5C"/>
          <w:sz w:val="28"/>
          <w:szCs w:val="28"/>
        </w:rPr>
        <w:t xml:space="preserve">3. Objectives, Scope, and Limitations</w:t>
      </w:r>
    </w:p>
    <w:p>
      <w:pPr>
        <w:pStyle w:val="Heading2"/>
        <w:spacing w:after="160" w:before="280"/>
      </w:pPr>
      <w:r>
        <w:rPr>
          <w:rFonts w:ascii="Calibri" w:cs="Calibri" w:eastAsia="Calibri" w:hAnsi="Calibri"/>
          <w:b/>
          <w:bCs/>
          <w:color w:val="2E5F8A"/>
          <w:sz w:val="24"/>
          <w:szCs w:val="24"/>
        </w:rPr>
        <w:t xml:space="preserve">3.1 Exercise Objectives</w:t>
      </w:r>
    </w:p>
    <w:p>
      <w:pPr>
        <w:spacing w:after="160" w:line="276"/>
        <w:jc w:val="left"/>
      </w:pPr>
      <w:r>
        <w:rPr>
          <w:rFonts w:ascii="Calibri" w:cs="Calibri" w:eastAsia="Calibri" w:hAnsi="Calibri"/>
          <w:b/>
          <w:bCs/>
          <w:i w:val="false"/>
          <w:iCs w:val="false"/>
          <w:color w:val="333333"/>
          <w:sz w:val="21"/>
          <w:szCs w:val="21"/>
        </w:rPr>
        <w:t xml:space="preserve">Objective 1: </w:t>
      </w:r>
      <w:r>
        <w:rPr>
          <w:rFonts w:ascii="Calibri" w:cs="Calibri" w:eastAsia="Calibri" w:hAnsi="Calibri"/>
          <w:b w:val="false"/>
          <w:bCs w:val="false"/>
          <w:i w:val="false"/>
          <w:iCs w:val="false"/>
          <w:color w:val="333333"/>
          <w:sz w:val="21"/>
          <w:szCs w:val="21"/>
        </w:rPr>
        <w:t xml:space="preserve">Evaluate Meridian's ability to maintain essential property management operations during an extended infrastructure outage lasting 48 or more hours.</w:t>
      </w:r>
    </w:p>
    <w:p>
      <w:pPr>
        <w:spacing w:after="160" w:line="276"/>
        <w:jc w:val="left"/>
      </w:pPr>
      <w:r>
        <w:rPr>
          <w:rFonts w:ascii="Calibri" w:cs="Calibri" w:eastAsia="Calibri" w:hAnsi="Calibri"/>
          <w:b/>
          <w:bCs/>
          <w:i w:val="false"/>
          <w:iCs w:val="false"/>
          <w:color w:val="333333"/>
          <w:sz w:val="21"/>
          <w:szCs w:val="21"/>
        </w:rPr>
        <w:t xml:space="preserve">Objective 2: </w:t>
      </w:r>
      <w:r>
        <w:rPr>
          <w:rFonts w:ascii="Calibri" w:cs="Calibri" w:eastAsia="Calibri" w:hAnsi="Calibri"/>
          <w:b w:val="false"/>
          <w:bCs w:val="false"/>
          <w:i w:val="false"/>
          <w:iCs w:val="false"/>
          <w:color w:val="333333"/>
          <w:sz w:val="21"/>
          <w:szCs w:val="21"/>
        </w:rPr>
        <w:t xml:space="preserve">Assess communication protocols for tenants, property owners, and internal staff during a multi-site disruption affecting headquarters and regional properties.</w:t>
      </w:r>
    </w:p>
    <w:p>
      <w:pPr>
        <w:spacing w:after="160" w:line="276"/>
        <w:jc w:val="left"/>
      </w:pPr>
      <w:r>
        <w:rPr>
          <w:rFonts w:ascii="Calibri" w:cs="Calibri" w:eastAsia="Calibri" w:hAnsi="Calibri"/>
          <w:b/>
          <w:bCs/>
          <w:i w:val="false"/>
          <w:iCs w:val="false"/>
          <w:color w:val="333333"/>
          <w:sz w:val="21"/>
          <w:szCs w:val="21"/>
        </w:rPr>
        <w:t xml:space="preserve">Objective 3: </w:t>
      </w:r>
      <w:r>
        <w:rPr>
          <w:rFonts w:ascii="Calibri" w:cs="Calibri" w:eastAsia="Calibri" w:hAnsi="Calibri"/>
          <w:b w:val="false"/>
          <w:bCs w:val="false"/>
          <w:i w:val="false"/>
          <w:iCs w:val="false"/>
          <w:color w:val="333333"/>
          <w:sz w:val="21"/>
          <w:szCs w:val="21"/>
        </w:rPr>
        <w:t xml:space="preserve">Identify single points of failure in systems access, vendor relationships, and decision-making authority that could impair Meridian's response to a significant operational disruption.</w:t>
      </w:r>
    </w:p>
    <w:p>
      <w:pPr>
        <w:pStyle w:val="Heading2"/>
        <w:spacing w:after="160" w:before="280"/>
      </w:pPr>
      <w:r>
        <w:rPr>
          <w:rFonts w:ascii="Calibri" w:cs="Calibri" w:eastAsia="Calibri" w:hAnsi="Calibri"/>
          <w:b/>
          <w:bCs/>
          <w:color w:val="2E5F8A"/>
          <w:sz w:val="24"/>
          <w:szCs w:val="24"/>
        </w:rPr>
        <w:t xml:space="preserve">3.2 Scope</w:t>
      </w:r>
    </w:p>
    <w:p>
      <w:pPr>
        <w:spacing w:after="160" w:line="276"/>
        <w:jc w:val="left"/>
      </w:pPr>
      <w:r>
        <w:rPr>
          <w:rFonts w:ascii="Calibri" w:cs="Calibri" w:eastAsia="Calibri" w:hAnsi="Calibri"/>
          <w:b w:val="false"/>
          <w:bCs w:val="false"/>
          <w:i w:val="false"/>
          <w:iCs w:val="false"/>
          <w:color w:val="333333"/>
          <w:sz w:val="21"/>
          <w:szCs w:val="21"/>
        </w:rPr>
        <w:t xml:space="preserve">This exercise addressed a single scenario (extended infrastructure outage) from a business resilience perspective. The exercise was discussion-based only; no systems were tested, no failover was activated, and no operational procedures were physically executed. The exercise focused on organizational decision-making, coordination, and communication rather than technical recovery procedures.</w:t>
      </w:r>
    </w:p>
    <w:p>
      <w:pPr>
        <w:pStyle w:val="Heading2"/>
        <w:spacing w:after="160" w:before="280"/>
      </w:pPr>
      <w:r>
        <w:rPr>
          <w:rFonts w:ascii="Calibri" w:cs="Calibri" w:eastAsia="Calibri" w:hAnsi="Calibri"/>
          <w:b/>
          <w:bCs/>
          <w:color w:val="2E5F8A"/>
          <w:sz w:val="24"/>
          <w:szCs w:val="24"/>
        </w:rPr>
        <w:t xml:space="preserve">3.3 Limitations</w:t>
      </w:r>
    </w:p>
    <w:p>
      <w:pPr>
        <w:pBdr>
          <w:top w:val="single" w:color="2E5F8A" w:sz="4"/>
          <w:bottom w:val="single" w:color="2E5F8A" w:sz="4"/>
          <w:left w:val="single" w:color="2E5F8A" w:sz="4"/>
          <w:right w:val="single" w:color="2E5F8A" w:sz="4"/>
        </w:pBdr>
        <w:shd w:fill="E8F0FE" w:val="clear"/>
        <w:spacing w:after="200" w:before="100"/>
        <w:ind w:left="200" w:right="200"/>
      </w:pPr>
      <w:r>
        <w:rPr>
          <w:rFonts w:ascii="Calibri" w:cs="Calibri" w:eastAsia="Calibri" w:hAnsi="Calibri"/>
          <w:i/>
          <w:iCs/>
          <w:color w:val="333333"/>
          <w:sz w:val="20"/>
          <w:szCs w:val="20"/>
        </w:rPr>
        <w:t xml:space="preserve">This report reflects observations from a single scenario-driven tabletop exercise conducted over approximately 2.5 hours. It evaluates organizational decision-making and coordination as demonstrated during the exercise discussion. It does not evaluate the full breadth of Meridian Property Group's technology environment, administrative processes, or operational resilience. The absence of a finding in an untested area is not evidence that no gap exists.</w:t>
      </w:r>
    </w:p>
    <w:p>
      <w:pPr>
        <w:spacing w:after="160" w:line="276"/>
        <w:jc w:val="left"/>
      </w:pPr>
      <w:r>
        <w:rPr>
          <w:rFonts w:ascii="Calibri" w:cs="Calibri" w:eastAsia="Calibri" w:hAnsi="Calibri"/>
          <w:b w:val="false"/>
          <w:bCs w:val="false"/>
          <w:i w:val="false"/>
          <w:iCs w:val="false"/>
          <w:color w:val="333333"/>
          <w:sz w:val="21"/>
          <w:szCs w:val="21"/>
        </w:rPr>
        <w:t xml:space="preserve">Additional limitations:</w:t>
      </w:r>
    </w:p>
    <w:p>
      <w:pPr>
        <w:spacing w:after="160" w:line="276"/>
        <w:ind w:left="360"/>
        <w:jc w:val="left"/>
      </w:pPr>
      <w:r>
        <w:rPr>
          <w:rFonts w:ascii="Calibri" w:cs="Calibri" w:eastAsia="Calibri" w:hAnsi="Calibri"/>
          <w:b w:val="false"/>
          <w:bCs w:val="false"/>
          <w:i w:val="false"/>
          <w:iCs w:val="false"/>
          <w:color w:val="333333"/>
          <w:sz w:val="20"/>
          <w:szCs w:val="20"/>
        </w:rPr>
        <w:t xml:space="preserve">  - The exercise did not include property-level staff, who would be directly involved in on-site response during an actual event.</w:t>
      </w:r>
    </w:p>
    <w:p>
      <w:pPr>
        <w:spacing w:after="160" w:line="276"/>
        <w:ind w:left="360"/>
        <w:jc w:val="left"/>
      </w:pPr>
      <w:r>
        <w:rPr>
          <w:rFonts w:ascii="Calibri" w:cs="Calibri" w:eastAsia="Calibri" w:hAnsi="Calibri"/>
          <w:b w:val="false"/>
          <w:bCs w:val="false"/>
          <w:i w:val="false"/>
          <w:iCs w:val="false"/>
          <w:color w:val="333333"/>
          <w:sz w:val="20"/>
          <w:szCs w:val="20"/>
        </w:rPr>
        <w:t xml:space="preserve">  - No external vendors, contractors, or service providers participated in the exercise.</w:t>
      </w:r>
    </w:p>
    <w:p>
      <w:pPr>
        <w:spacing w:after="160" w:line="276"/>
        <w:ind w:left="360"/>
        <w:jc w:val="left"/>
      </w:pPr>
      <w:r>
        <w:rPr>
          <w:rFonts w:ascii="Calibri" w:cs="Calibri" w:eastAsia="Calibri" w:hAnsi="Calibri"/>
          <w:b w:val="false"/>
          <w:bCs w:val="false"/>
          <w:i w:val="false"/>
          <w:iCs w:val="false"/>
          <w:color w:val="333333"/>
          <w:sz w:val="20"/>
          <w:szCs w:val="20"/>
        </w:rPr>
        <w:t xml:space="preserve">  - No tenant representatives participated; tenant communication was simulated through facilitator injects only.</w:t>
      </w:r>
    </w:p>
    <w:p>
      <w:pPr>
        <w:spacing w:after="160" w:line="276"/>
        <w:ind w:left="360"/>
        <w:jc w:val="left"/>
      </w:pPr>
      <w:r>
        <w:rPr>
          <w:rFonts w:ascii="Calibri" w:cs="Calibri" w:eastAsia="Calibri" w:hAnsi="Calibri"/>
          <w:b w:val="false"/>
          <w:bCs w:val="false"/>
          <w:i w:val="false"/>
          <w:iCs w:val="false"/>
          <w:color w:val="333333"/>
          <w:sz w:val="20"/>
          <w:szCs w:val="20"/>
        </w:rPr>
        <w:t xml:space="preserve">  - Legal counsel did not participate in the exercise. Legal considerations discussed during the exercise reflect participant assumptions, not legal advice.</w:t>
      </w:r>
    </w:p>
    <w:p>
      <w:pPr>
        <w:spacing w:after="160" w:line="276"/>
        <w:ind w:left="360"/>
        <w:jc w:val="left"/>
      </w:pPr>
      <w:r>
        <w:rPr>
          <w:rFonts w:ascii="Calibri" w:cs="Calibri" w:eastAsia="Calibri" w:hAnsi="Calibri"/>
          <w:b w:val="false"/>
          <w:bCs w:val="false"/>
          <w:i w:val="false"/>
          <w:iCs w:val="false"/>
          <w:color w:val="333333"/>
          <w:sz w:val="20"/>
          <w:szCs w:val="20"/>
        </w:rPr>
        <w:t xml:space="preserve">  - The organization's insurance broker did not participate. Insurance coverage discussions reflect participant understanding, which may not be accurate.</w:t>
      </w:r>
    </w:p>
    <w:p>
      <w:r>
        <w:br w:type="page"/>
      </w:r>
    </w:p>
    <w:p>
      <w:pPr>
        <w:pStyle w:val="Heading1"/>
        <w:spacing w:after="200" w:before="360"/>
      </w:pPr>
      <w:r>
        <w:rPr>
          <w:rFonts w:ascii="Calibri" w:cs="Calibri" w:eastAsia="Calibri" w:hAnsi="Calibri"/>
          <w:b/>
          <w:bCs/>
          <w:color w:val="1B3A5C"/>
          <w:sz w:val="28"/>
          <w:szCs w:val="28"/>
        </w:rPr>
        <w:t xml:space="preserve">4. Participant Summary</w:t>
      </w:r>
    </w:p>
    <w:p>
      <w:pPr>
        <w:spacing w:after="160" w:line="276"/>
        <w:jc w:val="left"/>
      </w:pPr>
      <w:r>
        <w:rPr>
          <w:rFonts w:ascii="Calibri" w:cs="Calibri" w:eastAsia="Calibri" w:hAnsi="Calibri"/>
          <w:b w:val="false"/>
          <w:bCs w:val="false"/>
          <w:i w:val="false"/>
          <w:iCs w:val="false"/>
          <w:color w:val="333333"/>
          <w:sz w:val="21"/>
          <w:szCs w:val="21"/>
        </w:rPr>
        <w:t xml:space="preserve">Twelve members of Meridian Property Group's leadership and management team participated in the exercise. The participant roster represents a cross-section of the organization's functional areas, including executive leadership, operations, finance, IT, human resources, property management, maintenance, leasing, and administration.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200"/>
        <w:gridCol w:w="5160"/>
        <w:gridCol w:w="1500"/>
      </w:tblGrid>
      <w:tr>
        <w:trPr>
          <w:tblHeader/>
        </w:trPr>
        <w:tc>
          <w:tcPr>
            <w:tcW w:type="dxa" w:w="500"/>
            <w:shd w:fill="1B3A5C" w:val="clear"/>
            <w:vAlign w:val="center"/>
          </w:tcPr>
          <w:p>
            <w:pPr>
              <w:spacing w:after="40" w:before="40"/>
            </w:pPr>
            <w:r>
              <w:rPr>
                <w:rFonts w:ascii="Calibri" w:cs="Calibri" w:eastAsia="Calibri" w:hAnsi="Calibri"/>
                <w:b/>
                <w:bCs/>
                <w:color w:val="FFFFFF"/>
                <w:sz w:val="19"/>
                <w:szCs w:val="19"/>
              </w:rPr>
              <w:t xml:space="preserve">#</w:t>
            </w:r>
          </w:p>
        </w:tc>
        <w:tc>
          <w:tcPr>
            <w:tcW w:type="dxa" w:w="2200"/>
            <w:shd w:fill="1B3A5C" w:val="clear"/>
            <w:vAlign w:val="center"/>
          </w:tcPr>
          <w:p>
            <w:pPr>
              <w:spacing w:after="40" w:before="40"/>
            </w:pPr>
            <w:r>
              <w:rPr>
                <w:rFonts w:ascii="Calibri" w:cs="Calibri" w:eastAsia="Calibri" w:hAnsi="Calibri"/>
                <w:b/>
                <w:bCs/>
                <w:color w:val="FFFFFF"/>
                <w:sz w:val="19"/>
                <w:szCs w:val="19"/>
              </w:rPr>
              <w:t xml:space="preserve">Name</w:t>
            </w:r>
          </w:p>
        </w:tc>
        <w:tc>
          <w:tcPr>
            <w:tcW w:type="dxa" w:w="5160"/>
            <w:shd w:fill="1B3A5C" w:val="clear"/>
            <w:vAlign w:val="center"/>
          </w:tcPr>
          <w:p>
            <w:pPr>
              <w:spacing w:after="40" w:before="40"/>
            </w:pPr>
            <w:r>
              <w:rPr>
                <w:rFonts w:ascii="Calibri" w:cs="Calibri" w:eastAsia="Calibri" w:hAnsi="Calibri"/>
                <w:b/>
                <w:bCs/>
                <w:color w:val="FFFFFF"/>
                <w:sz w:val="19"/>
                <w:szCs w:val="19"/>
              </w:rPr>
              <w:t xml:space="preserve">Title / Role</w:t>
            </w:r>
          </w:p>
        </w:tc>
        <w:tc>
          <w:tcPr>
            <w:tcW w:type="dxa" w:w="1500"/>
            <w:shd w:fill="1B3A5C" w:val="clear"/>
            <w:vAlign w:val="center"/>
          </w:tcPr>
          <w:p>
            <w:pPr>
              <w:spacing w:after="40" w:before="40"/>
            </w:pPr>
            <w:r>
              <w:rPr>
                <w:rFonts w:ascii="Calibri" w:cs="Calibri" w:eastAsia="Calibri" w:hAnsi="Calibri"/>
                <w:b/>
                <w:bCs/>
                <w:color w:val="FFFFFF"/>
                <w:sz w:val="19"/>
                <w:szCs w:val="19"/>
              </w:rPr>
              <w:t xml:space="preserve">Participation</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1</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James Caldwell</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CEO / Owner</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2</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Sandra Mitchell</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VP of Operations</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3</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David Okafor</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Director of Property Management</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4</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Rebecca Tran</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Controller / Finance Director</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5</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Marcus Webb</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IT Manager</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6</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Patricia Alvarez</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HR Manager</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7</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Brian Kowalski</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Regional Property Manager (Region 1 ,  OH, IN)</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8</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Latisha Barnes</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Regional Property Manager (Region 2 ,  IL)</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9</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Thomas Gruber</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Maintenance Director</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10</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Aisha Patel</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Lease Administrator</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11</w:t>
            </w:r>
          </w:p>
        </w:tc>
        <w:tc>
          <w:tcPr>
            <w:tcW w:type="dxa" w:w="2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Karen Lindstrom</w:t>
            </w:r>
          </w:p>
        </w:tc>
        <w:tc>
          <w:tcPr>
            <w:tcW w:type="dxa" w:w="51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Office Manager / Admin</w:t>
            </w:r>
          </w:p>
        </w:tc>
        <w:tc>
          <w:tcPr>
            <w:tcW w:type="dxa" w:w="1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12</w:t>
            </w:r>
          </w:p>
        </w:tc>
        <w:tc>
          <w:tcPr>
            <w:tcW w:type="dxa" w:w="2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Javier Reyes</w:t>
            </w:r>
          </w:p>
        </w:tc>
        <w:tc>
          <w:tcPr>
            <w:tcW w:type="dxa" w:w="51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Marketing Coordinator</w:t>
            </w:r>
          </w:p>
        </w:tc>
        <w:tc>
          <w:tcPr>
            <w:tcW w:type="dxa" w:w="1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bl>
    <w:p>
      <w:pPr>
        <w:spacing w:after="120"/>
      </w:pPr>
      <w:r>
        <w:rPr>
          <w:sz w:val="21"/>
          <w:szCs w:val="21"/>
        </w:rPr>
        <w:t xml:space="preserve"/>
      </w:r>
    </w:p>
    <w:p>
      <w:pPr>
        <w:spacing w:after="160" w:line="276"/>
        <w:jc w:val="left"/>
      </w:pPr>
      <w:r>
        <w:rPr>
          <w:rFonts w:ascii="Calibri" w:cs="Calibri" w:eastAsia="Calibri" w:hAnsi="Calibri"/>
          <w:b/>
          <w:bCs/>
          <w:i w:val="false"/>
          <w:iCs w:val="false"/>
          <w:color w:val="333333"/>
          <w:sz w:val="21"/>
          <w:szCs w:val="21"/>
        </w:rPr>
        <w:t xml:space="preserve">Notable Absences: </w:t>
      </w:r>
      <w:r>
        <w:rPr>
          <w:rFonts w:ascii="Calibri" w:cs="Calibri" w:eastAsia="Calibri" w:hAnsi="Calibri"/>
          <w:b w:val="false"/>
          <w:bCs w:val="false"/>
          <w:i w:val="false"/>
          <w:iCs w:val="false"/>
          <w:color w:val="333333"/>
          <w:sz w:val="21"/>
          <w:szCs w:val="21"/>
        </w:rPr>
        <w:t xml:space="preserve">Meridian's second IT staff member (IT Technician) was on PTO on the exercise date and did not participate. No legal counsel or insurance broker participated. These absences are noted because they are relevant to specific findings in Section 6.</w:t>
      </w:r>
    </w:p>
    <w:p>
      <w:r>
        <w:br w:type="page"/>
      </w:r>
    </w:p>
    <w:p>
      <w:pPr>
        <w:pStyle w:val="Heading1"/>
        <w:spacing w:after="200" w:before="360"/>
      </w:pPr>
      <w:r>
        <w:rPr>
          <w:rFonts w:ascii="Calibri" w:cs="Calibri" w:eastAsia="Calibri" w:hAnsi="Calibri"/>
          <w:b/>
          <w:bCs/>
          <w:color w:val="1B3A5C"/>
          <w:sz w:val="28"/>
          <w:szCs w:val="28"/>
        </w:rPr>
        <w:t xml:space="preserve">5. Scenario Summary</w:t>
      </w:r>
    </w:p>
    <w:p>
      <w:pPr>
        <w:spacing w:after="160" w:line="276"/>
        <w:jc w:val="left"/>
      </w:pPr>
      <w:r>
        <w:rPr>
          <w:rFonts w:ascii="Calibri" w:cs="Calibri" w:eastAsia="Calibri" w:hAnsi="Calibri"/>
          <w:b w:val="false"/>
          <w:bCs w:val="false"/>
          <w:i w:val="false"/>
          <w:iCs w:val="false"/>
          <w:color w:val="333333"/>
          <w:sz w:val="21"/>
          <w:szCs w:val="21"/>
        </w:rPr>
        <w:t xml:space="preserve">The exercise used a three-module escalating scenario simulating an extended infrastructure outage caused by severe weather. Each module introduced new conditions and decision points over a simulated 48+ hour timeline.</w:t>
      </w:r>
    </w:p>
    <w:p>
      <w:pPr>
        <w:pStyle w:val="Heading2"/>
        <w:spacing w:after="160" w:before="280"/>
      </w:pPr>
      <w:r>
        <w:rPr>
          <w:rFonts w:ascii="Calibri" w:cs="Calibri" w:eastAsia="Calibri" w:hAnsi="Calibri"/>
          <w:b/>
          <w:bCs/>
          <w:color w:val="2E5F8A"/>
          <w:sz w:val="24"/>
          <w:szCs w:val="24"/>
        </w:rPr>
        <w:t xml:space="preserve">Module 1: Initial Outage (Hours 0-6)</w:t>
      </w:r>
    </w:p>
    <w:p>
      <w:pPr>
        <w:spacing w:after="160" w:line="276"/>
        <w:jc w:val="left"/>
      </w:pPr>
      <w:r>
        <w:rPr>
          <w:rFonts w:ascii="Calibri" w:cs="Calibri" w:eastAsia="Calibri" w:hAnsi="Calibri"/>
          <w:b w:val="false"/>
          <w:bCs w:val="false"/>
          <w:i w:val="false"/>
          <w:iCs w:val="false"/>
          <w:color w:val="333333"/>
          <w:sz w:val="21"/>
          <w:szCs w:val="21"/>
        </w:rPr>
        <w:t xml:space="preserve">A severe weather system produces sustained high winds and heavy rain across the region. Power is lost at Meridian's headquarters and six of its twenty-eight managed properties. Internet connectivity is down at all affected locations. The cloud-based property management platform (used for lease management, maintenance tracking, tenant communication, and financial reporting) is inaccessible from headquarters and affected properties. Cell service is intermittent and unreliable. The National Weather Service indicates the weather system will continue for 12-18 hours.</w:t>
      </w:r>
    </w:p>
    <w:p>
      <w:pPr>
        <w:pStyle w:val="Heading2"/>
        <w:spacing w:after="160" w:before="280"/>
      </w:pPr>
      <w:r>
        <w:rPr>
          <w:rFonts w:ascii="Calibri" w:cs="Calibri" w:eastAsia="Calibri" w:hAnsi="Calibri"/>
          <w:b/>
          <w:bCs/>
          <w:color w:val="2E5F8A"/>
          <w:sz w:val="24"/>
          <w:szCs w:val="24"/>
        </w:rPr>
        <w:t xml:space="preserve">Module 2: Escalation (Hours 12-24)</w:t>
      </w:r>
    </w:p>
    <w:p>
      <w:pPr>
        <w:spacing w:after="160" w:line="276"/>
        <w:jc w:val="left"/>
      </w:pPr>
      <w:r>
        <w:rPr>
          <w:rFonts w:ascii="Calibri" w:cs="Calibri" w:eastAsia="Calibri" w:hAnsi="Calibri"/>
          <w:b w:val="false"/>
          <w:bCs w:val="false"/>
          <w:i w:val="false"/>
          <w:iCs w:val="false"/>
          <w:color w:val="333333"/>
          <w:sz w:val="21"/>
          <w:szCs w:val="21"/>
        </w:rPr>
        <w:t xml:space="preserve">The outage extends past 12 hours with no restoration estimate from the utility provider. Tenants at affected properties are demanding information about power restoration and building services. Maintenance emergencies are reported at two affected properties: water intrusion through a compromised roof section at a commercial office building and a sump pump failure causing basement flooding at a mixed-use property. A property owner calls demanding a status update and documentation of the situation. The backup generator at one affected property fails to start, leaving that building without emergency lighting and elevator service.</w:t>
      </w:r>
    </w:p>
    <w:p>
      <w:pPr>
        <w:pStyle w:val="Heading2"/>
        <w:spacing w:after="160" w:before="280"/>
      </w:pPr>
      <w:r>
        <w:rPr>
          <w:rFonts w:ascii="Calibri" w:cs="Calibri" w:eastAsia="Calibri" w:hAnsi="Calibri"/>
          <w:b/>
          <w:bCs/>
          <w:color w:val="2E5F8A"/>
          <w:sz w:val="24"/>
          <w:szCs w:val="24"/>
        </w:rPr>
        <w:t xml:space="preserve">Module 3: Extended Disruption (Hours 36-48+)</w:t>
      </w:r>
    </w:p>
    <w:p>
      <w:pPr>
        <w:spacing w:after="160" w:line="276"/>
        <w:jc w:val="left"/>
      </w:pPr>
      <w:r>
        <w:rPr>
          <w:rFonts w:ascii="Calibri" w:cs="Calibri" w:eastAsia="Calibri" w:hAnsi="Calibri"/>
          <w:b w:val="false"/>
          <w:bCs w:val="false"/>
          <w:i w:val="false"/>
          <w:iCs w:val="false"/>
          <w:color w:val="333333"/>
          <w:sz w:val="21"/>
          <w:szCs w:val="21"/>
        </w:rPr>
        <w:t xml:space="preserve">The outage continues past 36 hours. The utility provider estimates 3-5 additional days for full restoration. Meridian's insurance carrier contacts the company requesting incident documentation, a timeline of events, and a summary of mitigation actions taken. Payroll processing is due in 2 business days; the payroll system runs on the on-premises accounting server at headquarters, which remains without power. The primary HVAC maintenance contractor, a critical vendor for building systems at 12 of Meridian's properties, is unreachable ,  their facility was also affected by the weather event. Two additional properties report maintenance emergencies.</w:t>
      </w:r>
    </w:p>
    <w:p>
      <w:r>
        <w:br w:type="page"/>
      </w:r>
    </w:p>
    <w:p>
      <w:pPr>
        <w:pStyle w:val="Heading1"/>
        <w:spacing w:after="200" w:before="360"/>
      </w:pPr>
      <w:r>
        <w:rPr>
          <w:rFonts w:ascii="Calibri" w:cs="Calibri" w:eastAsia="Calibri" w:hAnsi="Calibri"/>
          <w:b/>
          <w:bCs/>
          <w:color w:val="1B3A5C"/>
          <w:sz w:val="28"/>
          <w:szCs w:val="28"/>
        </w:rPr>
        <w:t xml:space="preserve">6. Findings and Recommendations</w:t>
      </w:r>
    </w:p>
    <w:p>
      <w:pPr>
        <w:spacing w:after="160" w:line="276"/>
        <w:jc w:val="left"/>
      </w:pPr>
      <w:r>
        <w:rPr>
          <w:rFonts w:ascii="Calibri" w:cs="Calibri" w:eastAsia="Calibri" w:hAnsi="Calibri"/>
          <w:b w:val="false"/>
          <w:bCs w:val="false"/>
          <w:i w:val="false"/>
          <w:iCs w:val="false"/>
          <w:color w:val="333333"/>
          <w:sz w:val="21"/>
          <w:szCs w:val="21"/>
        </w:rPr>
        <w:t xml:space="preserve">This section presents twelve findings from the exercise, organized by severity. Each finding follows a four-part structure: observation (what was seen during the exercise), context and risk impact (why it matters), recommendation (what to do about it), and classification (severity, NIST CSF 2.0 reference, remediation timeframe).</w:t>
      </w:r>
    </w:p>
    <w:p>
      <w:pPr>
        <w:spacing w:after="160" w:line="276"/>
        <w:jc w:val="left"/>
      </w:pPr>
      <w:r>
        <w:rPr>
          <w:rFonts w:ascii="Calibri" w:cs="Calibri" w:eastAsia="Calibri" w:hAnsi="Calibri"/>
          <w:b w:val="false"/>
          <w:bCs w:val="false"/>
          <w:i w:val="false"/>
          <w:iCs w:val="false"/>
          <w:color w:val="333333"/>
          <w:sz w:val="21"/>
          <w:szCs w:val="21"/>
        </w:rPr>
        <w:t xml:space="preserve">Severity levels are calibrated as follows: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tblHeader/>
        </w:trPr>
        <w:tc>
          <w:tcPr>
            <w:tcW w:type="dxa" w:w="1800"/>
            <w:shd w:fill="1B3A5C" w:val="clear"/>
            <w:vAlign w:val="center"/>
          </w:tcPr>
          <w:p>
            <w:pPr>
              <w:spacing w:after="40" w:before="40"/>
            </w:pPr>
            <w:r>
              <w:rPr>
                <w:rFonts w:ascii="Calibri" w:cs="Calibri" w:eastAsia="Calibri" w:hAnsi="Calibri"/>
                <w:b/>
                <w:bCs/>
                <w:color w:val="FFFFFF"/>
                <w:sz w:val="19"/>
                <w:szCs w:val="19"/>
              </w:rPr>
              <w:t xml:space="preserve">Severity</w:t>
            </w:r>
          </w:p>
        </w:tc>
        <w:tc>
          <w:tcPr>
            <w:tcW w:type="dxa" w:w="7560"/>
            <w:shd w:fill="1B3A5C" w:val="clear"/>
            <w:vAlign w:val="center"/>
          </w:tcPr>
          <w:p>
            <w:pPr>
              <w:spacing w:after="40" w:before="40"/>
            </w:pPr>
            <w:r>
              <w:rPr>
                <w:rFonts w:ascii="Calibri" w:cs="Calibri" w:eastAsia="Calibri" w:hAnsi="Calibri"/>
                <w:b/>
                <w:bCs/>
                <w:color w:val="FFFFFF"/>
                <w:sz w:val="19"/>
                <w:szCs w:val="19"/>
              </w:rPr>
              <w:t xml:space="preserve">Definition</w:t>
            </w:r>
          </w:p>
        </w:tc>
      </w:tr>
      <w:tr>
        <w:tc>
          <w:tcPr>
            <w:tcW w:type="dxa" w:w="1800"/>
            <w:shd w:fill="F2F2F2" w:val="clear"/>
            <w:vAlign w:val="center"/>
          </w:tcPr>
          <w:p>
            <w:pPr>
              <w:spacing w:after="30" w:before="30"/>
            </w:pPr>
            <w:r>
              <w:rPr>
                <w:rFonts w:ascii="Calibri" w:cs="Calibri" w:eastAsia="Calibri" w:hAnsi="Calibri"/>
                <w:b/>
                <w:bCs/>
                <w:i w:val="false"/>
                <w:iCs w:val="false"/>
                <w:color w:val="C0392B"/>
                <w:sz w:val="19"/>
                <w:szCs w:val="19"/>
              </w:rPr>
              <w:t xml:space="preserve">Critical</w:t>
            </w:r>
          </w:p>
        </w:tc>
        <w:tc>
          <w:tcPr>
            <w:tcW w:type="dxa" w:w="7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Fundamental gap that would prevent effective response to a significant disruption. Immediate action required.</w:t>
            </w:r>
          </w:p>
        </w:tc>
      </w:tr>
      <w:tr>
        <w:tc>
          <w:tcPr>
            <w:tcW w:type="dxa" w:w="1800"/>
            <w:shd w:fill="FFFFFF"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7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Significant gap that would materially impair response effectiveness. Action required within 30-60 days.</w:t>
            </w:r>
          </w:p>
        </w:tc>
      </w:tr>
      <w:tr>
        <w:tc>
          <w:tcPr>
            <w:tcW w:type="dxa" w:w="1800"/>
            <w:shd w:fill="F2F2F2"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7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Moderate gap that creates unnecessary risk or inefficiency. Action recommended within 60-90 days.</w:t>
            </w:r>
          </w:p>
        </w:tc>
      </w:tr>
      <w:tr>
        <w:tc>
          <w:tcPr>
            <w:tcW w:type="dxa" w:w="1800"/>
            <w:shd w:fill="FFFFFF" w:val="clear"/>
            <w:vAlign w:val="center"/>
          </w:tcPr>
          <w:p>
            <w:pPr>
              <w:spacing w:after="30" w:before="30"/>
            </w:pPr>
            <w:r>
              <w:rPr>
                <w:rFonts w:ascii="Calibri" w:cs="Calibri" w:eastAsia="Calibri" w:hAnsi="Calibri"/>
                <w:b/>
                <w:bCs/>
                <w:i w:val="false"/>
                <w:iCs w:val="false"/>
                <w:color w:val="27AE60"/>
                <w:sz w:val="19"/>
                <w:szCs w:val="19"/>
              </w:rPr>
              <w:t xml:space="preserve">Low</w:t>
            </w:r>
          </w:p>
        </w:tc>
        <w:tc>
          <w:tcPr>
            <w:tcW w:type="dxa" w:w="75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Minor gap or improvement opportunity. Address as resources and schedule permit.</w:t>
            </w:r>
          </w:p>
        </w:tc>
      </w:tr>
      <w:tr>
        <w:tc>
          <w:tcPr>
            <w:tcW w:type="dxa" w:w="1800"/>
            <w:shd w:fill="F2F2F2" w:val="clear"/>
            <w:vAlign w:val="center"/>
          </w:tcPr>
          <w:p>
            <w:pPr>
              <w:spacing w:after="30" w:before="30"/>
            </w:pPr>
            <w:r>
              <w:rPr>
                <w:rFonts w:ascii="Calibri" w:cs="Calibri" w:eastAsia="Calibri" w:hAnsi="Calibri"/>
                <w:b/>
                <w:bCs/>
                <w:i w:val="false"/>
                <w:iCs w:val="false"/>
                <w:color w:val="2E5F8A"/>
                <w:sz w:val="19"/>
                <w:szCs w:val="19"/>
              </w:rPr>
              <w:t xml:space="preserve">Informational</w:t>
            </w:r>
          </w:p>
        </w:tc>
        <w:tc>
          <w:tcPr>
            <w:tcW w:type="dxa" w:w="75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Documented strength or observation for the record. No corrective action required.</w:t>
            </w:r>
          </w:p>
        </w:tc>
      </w:tr>
    </w:tbl>
    <w:p>
      <w:pPr>
        <w:spacing w:after="12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Gap Findings</w:t>
      </w:r>
    </w:p>
    <w:p>
      <w:pPr>
        <w:pStyle w:val="Heading3"/>
        <w:spacing w:after="120" w:before="200"/>
      </w:pPr>
      <w:r>
        <w:rPr>
          <w:rFonts w:ascii="Calibri" w:cs="Calibri" w:eastAsia="Calibri" w:hAnsi="Calibri"/>
          <w:b/>
          <w:bCs/>
          <w:color w:val="333333"/>
          <w:sz w:val="22"/>
          <w:szCs w:val="22"/>
        </w:rPr>
        <w:t xml:space="preserve">F-1: No Business Continuity Plan</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C0392B"/>
          <w:sz w:val="20"/>
          <w:szCs w:val="20"/>
        </w:rPr>
        <w:t xml:space="preserve">Critical</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GV.OC-01, PR.IP</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Immediate (0-30 days to initiate)</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asked "what is your plan for continuing operations during an extended outage," participants acknowledged that no documented business continuity plan exists. The CEO stated, "We've talked about putting something together but never got around to it." Decision-making during the exercise was ad hoc and relied entirely on real-time discussion among whoever was present in the room.</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Without a documented BCP, Meridian's response to any significant disruption depends entirely on whoever happens to be available and whatever they can figure out in the moment. During a real extended outage, this means duplicated effort, missed critical actions, inconsistent tenant communication, and potential contractual violations with property owners who require documented continuity provisions. The ad hoc approach observed during the exercise would not scale to a real event where participants would also be managing their own personal disruption.</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Develop a business continuity plan that addresses the top 3 disruption scenarios identified through this exercise (infrastructure outage, key person loss, vendor failure). The plan should include activation criteria, role assignments, communication templates, and critical system recovery priorities. Validate the plan through a focused tabletop exercise within 12 months of plan completion.</w:t>
      </w:r>
    </w:p>
    <w:p>
      <w:pPr>
        <w:spacing w:after="80"/>
      </w:pPr>
      <w:r>
        <w:rPr>
          <w:sz w:val="21"/>
          <w:szCs w:val="21"/>
        </w:rPr>
        <w:t xml:space="preserve"/>
      </w:r>
    </w:p>
    <w:p>
      <w:pPr>
        <w:pStyle w:val="Heading3"/>
        <w:spacing w:after="120" w:before="200"/>
      </w:pPr>
      <w:r>
        <w:rPr>
          <w:rFonts w:ascii="Calibri" w:cs="Calibri" w:eastAsia="Calibri" w:hAnsi="Calibri"/>
          <w:b/>
          <w:bCs/>
          <w:color w:val="333333"/>
          <w:sz w:val="22"/>
          <w:szCs w:val="22"/>
        </w:rPr>
        <w:t xml:space="preserve">F-2: IT Knowledge Concentrated in a Single Individual</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C0392B"/>
          <w:sz w:val="20"/>
          <w:szCs w:val="20"/>
        </w:rPr>
        <w:t xml:space="preserve">Critical</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PR.IP, GV.RR-01</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Immediate (0-30 days to initiate)</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The IT Manager was the only person who could describe system architecture, backup procedures, vendor credentials, and recovery priorities. When asked "if the IT Manager were unavailable, who would manage the technology recovery," the room was silent for approximately 15 seconds before the CEO said, "That's a really good question." No documentation of IT systems, credentials, or procedures exists outside the IT Manager's personal knowledge. The second IT staff member was on PTO on the day of the exercise, underscoring the practical reality of this single point of failure.</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Meridian's entire technology recovery capability is a single employee. If that individual is unavailable during a disruption ,  on PTO, as was the second IT person during this exercise, or personally affected by the same event .  Meridian has no ability to assess system status, contact vendors, or initiate recovery. The property management platform serves all 28 properties; inaccessibility affects lease management, maintenance tracking, and tenant communication across the entire portfolio. This is not a theoretical risk; the exercise itself demonstrated the scenario with only one of two IT staff present.</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Create a systems documentation package covering: network architecture, critical application inventory, vendor contact and account information (stored securely), backup configuration and recovery procedures, and administrative credential escrow. Designate and train a secondary IT contact (internal or contracted) who can execute recovery procedures using the documentation. Complete documentation within 60 days and conduct a validation exercise with the secondary contact.</w:t>
      </w:r>
    </w:p>
    <w:p>
      <w:pPr>
        <w:spacing w:after="80"/>
      </w:pPr>
      <w:r>
        <w:rPr>
          <w:sz w:val="21"/>
          <w:szCs w:val="21"/>
        </w:rPr>
        <w:t xml:space="preserve"/>
      </w:r>
    </w:p>
    <w:p>
      <w:r>
        <w:br w:type="page"/>
      </w:r>
    </w:p>
    <w:p>
      <w:pPr>
        <w:pStyle w:val="Heading3"/>
        <w:spacing w:after="120" w:before="200"/>
      </w:pPr>
      <w:r>
        <w:rPr>
          <w:rFonts w:ascii="Calibri" w:cs="Calibri" w:eastAsia="Calibri" w:hAnsi="Calibri"/>
          <w:b/>
          <w:bCs/>
          <w:color w:val="333333"/>
          <w:sz w:val="22"/>
          <w:szCs w:val="22"/>
        </w:rPr>
        <w:t xml:space="preserve">F-3: No Tenant Communication Plan or Templates</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E67E22"/>
          <w:sz w:val="20"/>
          <w:szCs w:val="20"/>
        </w:rPr>
        <w:t xml:space="preserve">High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RS.CO</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Near-Term (30-60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the scenario introduced tenant inquiries about the outage, participants spent approximately 20 minutes debating who should communicate with tenants, through what channel, and what to say. The Marketing Coordinator suggested using the company's social media accounts; the VP of Operations preferred individual emails; the Regional Property Managers indicated they would call tenants directly. No pre-approved messaging or designated spokesperson was identified. The Director of Property Management noted, "We'd probably just wing it and hope for the best."</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Inconsistent tenant communication during a multi-property outage creates reputational risk and potential lease compliance issues. Tenants receiving different information from different Meridian representatives ,  or receiving no information ,  erode trust and generate complaint volume that compounds the operational burden. For a property management company, tenant trust is directly linked to lease renewal rates and portfolio reputation with property owners.</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Develop a tenant communication protocol that includes: designated spokesperson(s) by property region, pre-approved holding statements for common disruption types (power outage, water, security, natural disaster), communication channel hierarchy (email, text, posted notice), and escalation criteria for property owner notification. Test the protocol with a communications-focused exercise within 6 months.</w:t>
      </w:r>
    </w:p>
    <w:p>
      <w:pPr>
        <w:spacing w:after="80"/>
      </w:pPr>
      <w:r>
        <w:rPr>
          <w:sz w:val="21"/>
          <w:szCs w:val="21"/>
        </w:rPr>
        <w:t xml:space="preserve"/>
      </w:r>
    </w:p>
    <w:p>
      <w:pPr>
        <w:pStyle w:val="Heading3"/>
        <w:spacing w:after="120" w:before="200"/>
      </w:pPr>
      <w:r>
        <w:rPr>
          <w:rFonts w:ascii="Calibri" w:cs="Calibri" w:eastAsia="Calibri" w:hAnsi="Calibri"/>
          <w:b/>
          <w:bCs/>
          <w:color w:val="333333"/>
          <w:sz w:val="22"/>
          <w:szCs w:val="22"/>
        </w:rPr>
        <w:t xml:space="preserve">F-4: No Documented Vendor Emergency Contacts or SLAs</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E67E22"/>
          <w:sz w:val="20"/>
          <w:szCs w:val="20"/>
        </w:rPr>
        <w:t xml:space="preserve">High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GV.SC</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Near-Term (30-60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the scenario presented an HVAC contractor as unreachable during the outage, the Maintenance Director stated he would "just call the next person on my phone." When asked whether emergency SLAs or after-hours contacts exist for critical vendors, participants indicated that vendor relationships are managed informally and that contact information is stored in individual employees' phones and email contacts. No centralized vendor directory or emergency contact list exists.</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During a multi-property emergency, Meridian cannot efficiently mobilize vendor support if contact information and escalation procedures are distributed across individual employees ,  some of whom may be personally affected by the same event. Delayed vendor response to maintenance emergencies (water intrusion, generator failure) during an extended outage compounds property damage and tenant safety risk. The Maintenance Director's personal phone is not a resilient business system.</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Create a centralized critical vendor directory with: company name, primary and emergency contacts, service scope, SLA terms (if any), and contract expiration dates. Prioritize the top 10 vendors by service criticality. Store the directory in a location accessible even if primary systems are down (printed copy in emergency kit, cloud-accessible document). Review and update quarterly.</w:t>
      </w:r>
    </w:p>
    <w:p>
      <w:pPr>
        <w:spacing w:after="80"/>
      </w:pPr>
      <w:r>
        <w:rPr>
          <w:sz w:val="21"/>
          <w:szCs w:val="21"/>
        </w:rPr>
        <w:t xml:space="preserve"/>
      </w:r>
    </w:p>
    <w:p>
      <w:r>
        <w:br w:type="page"/>
      </w:r>
    </w:p>
    <w:p>
      <w:pPr>
        <w:pStyle w:val="Heading3"/>
        <w:spacing w:after="120" w:before="200"/>
      </w:pPr>
      <w:r>
        <w:rPr>
          <w:rFonts w:ascii="Calibri" w:cs="Calibri" w:eastAsia="Calibri" w:hAnsi="Calibri"/>
          <w:b/>
          <w:bCs/>
          <w:color w:val="333333"/>
          <w:sz w:val="22"/>
          <w:szCs w:val="22"/>
        </w:rPr>
        <w:t xml:space="preserve">F-5: Insurance Policy Terms and Notification Requirements Unknown</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E67E22"/>
          <w:sz w:val="20"/>
          <w:szCs w:val="20"/>
        </w:rPr>
        <w:t xml:space="preserve">High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GV.OC, ID.RA</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Near-Term (30-60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the scenario introduced the insurance carrier requesting documentation, the Controller stated, "I know we have business interruption coverage but I'd have to look up the details." No participant could identify the notification window, documentation requirements, or the carrier's claims process. The CEO asked, "Does our policy even cover this kind of thing?"</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Failure to notify the insurance carrier within the policy-specified window can jeopardize coverage. Inability to provide required documentation (incident timeline, damage assessment, mitigation actions taken) during or immediately after an event reduces claim value and may result in denial. Business interruption coverage often has specific triggering conditions and waiting periods that affect whether and when coverage applies. Meridian's inability to articulate basic policy terms suggests the organization cannot reliably execute a claims process under duress.</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Schedule a policy review meeting with the insurance broker within 30 days. Document: coverage types and limits, notification requirements and contact information, required documentation for each coverage type, and triggering conditions. Distribute a one-page summary of notification requirements to the leadership team. Include insurance notification as an early action item in the business continuity plan.</w:t>
      </w:r>
    </w:p>
    <w:p>
      <w:pPr>
        <w:spacing w:after="80"/>
      </w:pPr>
      <w:r>
        <w:rPr>
          <w:sz w:val="21"/>
          <w:szCs w:val="21"/>
        </w:rPr>
        <w:t xml:space="preserve"/>
      </w:r>
    </w:p>
    <w:p>
      <w:pPr>
        <w:pStyle w:val="Heading3"/>
        <w:spacing w:after="120" w:before="200"/>
      </w:pPr>
      <w:r>
        <w:rPr>
          <w:rFonts w:ascii="Calibri" w:cs="Calibri" w:eastAsia="Calibri" w:hAnsi="Calibri"/>
          <w:b/>
          <w:bCs/>
          <w:color w:val="333333"/>
          <w:sz w:val="22"/>
          <w:szCs w:val="22"/>
        </w:rPr>
        <w:t xml:space="preserve">F-6: No Remote Work Activation Criteria or Procedures</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D4AC0D"/>
          <w:sz w:val="20"/>
          <w:szCs w:val="20"/>
        </w:rPr>
        <w:t xml:space="preserve">Medium</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PR.IP, RC.RP</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Planned (60-90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asked how HQ staff would continue working if the office remained inaccessible, responses varied. The IT Manager indicated that most staff have laptops and can access cloud systems from home, but acknowledged "we've never actually tested that in a coordinated way." No formal remote work activation threshold exists ,  no criteria for when to activate, how to communicate the shift, or how to verify that critical functions are operational remotely.</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An assumed remote work capability that has never been tested is an assumption, not a capability. During a real extended outage, staff need clear direction: when to shift to remote work, what systems to access, how to communicate with the team, and which functions cannot continue remotely. The 2-day payroll deadline in the scenario highlighted that the on-premises accounting server is not remotely accessible, meaning at least one critical business function cannot operate remotely under the current configuration.</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Define remote work activation criteria (triggering events, decision authority, communication procedure). Test remote access for all critical functions, including the accounting server. Document which functions require on-premises access and develop workaround procedures for each. Validate through a remote work activation drill within 90 days.</w:t>
      </w:r>
    </w:p>
    <w:p>
      <w:pPr>
        <w:spacing w:after="80"/>
      </w:pPr>
      <w:r>
        <w:rPr>
          <w:sz w:val="21"/>
          <w:szCs w:val="21"/>
        </w:rPr>
        <w:t xml:space="preserve"/>
      </w:r>
    </w:p>
    <w:p>
      <w:r>
        <w:br w:type="page"/>
      </w:r>
    </w:p>
    <w:p>
      <w:pPr>
        <w:pStyle w:val="Heading3"/>
        <w:spacing w:after="120" w:before="200"/>
      </w:pPr>
      <w:r>
        <w:rPr>
          <w:rFonts w:ascii="Calibri" w:cs="Calibri" w:eastAsia="Calibri" w:hAnsi="Calibri"/>
          <w:b/>
          <w:bCs/>
          <w:color w:val="333333"/>
          <w:sz w:val="22"/>
          <w:szCs w:val="22"/>
        </w:rPr>
        <w:t xml:space="preserve">F-7: No Escalation Thresholds or Decision Authority Documentation</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D4AC0D"/>
          <w:sz w:val="20"/>
          <w:szCs w:val="20"/>
        </w:rPr>
        <w:t xml:space="preserve">Medium</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GV.RR, RS.AN</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Planned (60-90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At multiple points during the exercise, participants looked to the CEO for decisions. When asked "who makes the call to close the office," "who authorizes emergency vendor expenditure," and "who decides when to notify property owners," the answer was consistently the CEO. The CEO acknowledged, "Everything runs through me, which works fine day-to-day but obviously doesn't scale if I'm not available or if we're dealing with multiple things at once."</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Centralizing all disruption-related decision authority in a single individual creates a bottleneck during fast-moving events and a complete decision vacuum if that individual is unavailable. Property-level decisions (close a building, authorize emergency repair, evacuate tenants) may require faster action than CEO availability allows. During a multi-property event, the volume of decisions can overwhelm even an available and engaged CEO.</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Document decision authority thresholds: who can authorize emergency expenditures (and up to what amount without CEO approval), who can close or evacuate a property, who can authorize tenant communication, and who acts in the CEO's absence for each category. Distribute the authority matrix to all leadership team members. Review annually or when organizational changes occur.</w:t>
      </w:r>
    </w:p>
    <w:p>
      <w:pPr>
        <w:spacing w:after="80"/>
      </w:pPr>
      <w:r>
        <w:rPr>
          <w:sz w:val="21"/>
          <w:szCs w:val="21"/>
        </w:rPr>
        <w:t xml:space="preserve"/>
      </w:r>
    </w:p>
    <w:p>
      <w:pPr>
        <w:pStyle w:val="Heading3"/>
        <w:spacing w:after="120" w:before="200"/>
      </w:pPr>
      <w:r>
        <w:rPr>
          <w:rFonts w:ascii="Calibri" w:cs="Calibri" w:eastAsia="Calibri" w:hAnsi="Calibri"/>
          <w:b/>
          <w:bCs/>
          <w:color w:val="333333"/>
          <w:sz w:val="22"/>
          <w:szCs w:val="22"/>
        </w:rPr>
        <w:t xml:space="preserve">F-8: Property Owner Communication Not Addressed Until Prompted</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D4AC0D"/>
          <w:sz w:val="20"/>
          <w:szCs w:val="20"/>
        </w:rPr>
        <w:t xml:space="preserve">Medium</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RS.CO, GV.OC</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Planned (60-90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Participants did not discuss property owner notification until the facilitator introduced an inject with a property owner calling to demand a status update ,  approximately 70 minutes into the exercise. When prompted, the VP of Operations stated, "I'd just call them and let them know what's happening," but could not identify a standard process, reporting template, or contractual obligation for owner notification during disruptions. No other participant raised owner communication as a consideration before the inject.</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Property management contracts typically include notification requirements for events affecting property condition or operations. Delayed or unstructured owner communication risks contractual non-compliance and relationship damage with the asset owners who are Meridian's primary revenue source. The fact that owner communication was not raised organically by any participant suggests it is not embedded in the organization's natural crisis response thinking.</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Review property management contracts for owner notification requirements during material events. Develop an owner communication protocol with templates, notification triggers, and responsible parties for each property or ownership group. Integrate owner notification into the business continuity plan as an early-stage action item.</w:t>
      </w:r>
    </w:p>
    <w:p>
      <w:pPr>
        <w:spacing w:after="80"/>
      </w:pPr>
      <w:r>
        <w:rPr>
          <w:sz w:val="21"/>
          <w:szCs w:val="21"/>
        </w:rPr>
        <w:t xml:space="preserve"/>
      </w:r>
    </w:p>
    <w:p>
      <w:r>
        <w:br w:type="page"/>
      </w:r>
    </w:p>
    <w:p>
      <w:pPr>
        <w:pStyle w:val="Heading3"/>
        <w:spacing w:after="120" w:before="200"/>
      </w:pPr>
      <w:r>
        <w:rPr>
          <w:rFonts w:ascii="Calibri" w:cs="Calibri" w:eastAsia="Calibri" w:hAnsi="Calibri"/>
          <w:b/>
          <w:bCs/>
          <w:color w:val="333333"/>
          <w:sz w:val="22"/>
          <w:szCs w:val="22"/>
        </w:rPr>
        <w:t xml:space="preserve">F-9: No Emergency Supply Kit or Physical Preparedness at Properties</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666666"/>
          <w:sz w:val="20"/>
          <w:szCs w:val="20"/>
        </w:rPr>
        <w:t xml:space="preserve">Low</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PR.IP</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Opportunistic (90-180 days)</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When the scenario described maintenance emergencies at affected properties during the outage, the Maintenance Director noted that emergency supplies (flashlights, batteries, tarps, portable fans, wet/dry vacuums) are not pre-staged at properties. "We'd have to go buy what we need, assuming stores are open and we can get there." The Regional Property Managers confirmed that no standardized emergency supply kit exists at any of the 28 properties.</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During an extended outage that may also affect local businesses, the ability to procure emergency supplies may be limited. Pre-staged basic supplies at high-risk properties reduce response time for tenant safety and property protection actions. The cost of a basic emergency kit is minimal compared to the cost of delayed response to water intrusion or other property damage.</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Develop a basic emergency supply checklist for each property type (commercial office, retail, mixed-use, residential). Pre-stage kits at the 6 properties most vulnerable to outage-related maintenance emergencies based on building age, known infrastructure issues, and historical maintenance patterns. Include emergency kit inspection in annual property inspection procedures.</w:t>
      </w:r>
    </w:p>
    <w:p>
      <w:pPr>
        <w:spacing w:after="8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Strength Findings</w:t>
      </w:r>
    </w:p>
    <w:p>
      <w:pPr>
        <w:pStyle w:val="Heading3"/>
        <w:spacing w:after="120" w:before="200"/>
      </w:pPr>
      <w:r>
        <w:rPr>
          <w:rFonts w:ascii="Calibri" w:cs="Calibri" w:eastAsia="Calibri" w:hAnsi="Calibri"/>
          <w:b/>
          <w:bCs/>
          <w:color w:val="333333"/>
          <w:sz w:val="22"/>
          <w:szCs w:val="22"/>
        </w:rPr>
        <w:t xml:space="preserve">F-10: Effective Leadership Engagement and Real-Time Decision-Making</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27AE60"/>
          <w:sz w:val="20"/>
          <w:szCs w:val="20"/>
        </w:rPr>
        <w:t xml:space="preserve">Informational (Strength)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GV.RR</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Maintain</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The CEO and VP of Operations were actively engaged throughout the exercise, asking clarifying questions, soliciting input from all functional areas, and making clear decisions when the scenario required them. When the generator failure inject was introduced, the CEO immediately asked the Maintenance Director for options, the Controller for cost implications, and the Regional Property Manager for tenant impact ,  demonstrating effective cross-functional triage within seconds of receiving new information.</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Leadership engagement during a crisis sets the tone for organizational response. Meridian's leadership demonstrated willingness to make decisions with incomplete information and to adjust those decisions as new information emerged ,  a critical capability that many organizations lack. This strength was consistent throughout all three scenario modules and did not diminish as the scenario escalated.</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Maintain this engagement model. Formalize the cross-functional triage approach demonstrated during the exercise into the business continuity plan so it persists even if specific leaders are unavailable. Consider documenting the decision-making framework (gather options, assess cost, assess impact, decide) as a reference for other leaders who may need to act in their absence.</w:t>
      </w:r>
    </w:p>
    <w:p>
      <w:pPr>
        <w:spacing w:after="80"/>
      </w:pPr>
      <w:r>
        <w:rPr>
          <w:sz w:val="21"/>
          <w:szCs w:val="21"/>
        </w:rPr>
        <w:t xml:space="preserve"/>
      </w:r>
    </w:p>
    <w:p>
      <w:r>
        <w:br w:type="page"/>
      </w:r>
    </w:p>
    <w:p>
      <w:pPr>
        <w:pStyle w:val="Heading3"/>
        <w:spacing w:after="120" w:before="200"/>
      </w:pPr>
      <w:r>
        <w:rPr>
          <w:rFonts w:ascii="Calibri" w:cs="Calibri" w:eastAsia="Calibri" w:hAnsi="Calibri"/>
          <w:b/>
          <w:bCs/>
          <w:color w:val="333333"/>
          <w:sz w:val="22"/>
          <w:szCs w:val="22"/>
        </w:rPr>
        <w:t xml:space="preserve">F-11: Cross-Departmental Coordination</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27AE60"/>
          <w:sz w:val="20"/>
          <w:szCs w:val="20"/>
        </w:rPr>
        <w:t xml:space="preserve">Informational (Strength)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RS.CO</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Maintain</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Despite the lack of documented procedures, participants from different departments actively collaborated during the exercise without being prompted. The HR Manager proactively raised employee safety concerns when the outage was first introduced. The Lease Administrator flagged upcoming lease deadlines that would be affected by an extended outage. The Maintenance Director coordinated with the Regional Property Managers on property triage priorities without being asked. These interactions occurred naturally throughout the exercise.</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Organic cross-departmental coordination indicates a functional organizational culture that supports crisis response. This is a foundational strength that documented plans can build upon rather than replace. Organizations with strong documentation but poor cross-departmental relationships often perform worse in exercises than organizations like Meridian that demonstrate natural collaboration.</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Build on this demonstrated cross-departmental coordination when developing the business continuity plan. The natural collaboration patterns observed during the exercise should inform the plan's role assignments and communication flows. Build the plan around how Meridian actually works, not an idealized organizational structure.</w:t>
      </w:r>
    </w:p>
    <w:p>
      <w:pPr>
        <w:spacing w:after="80"/>
      </w:pPr>
      <w:r>
        <w:rPr>
          <w:sz w:val="21"/>
          <w:szCs w:val="21"/>
        </w:rPr>
        <w:t xml:space="preserve"/>
      </w:r>
    </w:p>
    <w:p>
      <w:pPr>
        <w:pStyle w:val="Heading3"/>
        <w:spacing w:after="120" w:before="200"/>
      </w:pPr>
      <w:r>
        <w:rPr>
          <w:rFonts w:ascii="Calibri" w:cs="Calibri" w:eastAsia="Calibri" w:hAnsi="Calibri"/>
          <w:b/>
          <w:bCs/>
          <w:color w:val="333333"/>
          <w:sz w:val="22"/>
          <w:szCs w:val="22"/>
        </w:rPr>
        <w:t xml:space="preserve">F-12: Willingness to Acknowledge Gaps</w:t>
      </w:r>
    </w:p>
    <w:p>
      <w:pPr>
        <w:spacing w:after="160" w:line="276"/>
        <w:jc w:val="left"/>
      </w:pPr>
      <w:r>
        <w:rPr>
          <w:rFonts w:ascii="Calibri" w:cs="Calibri" w:eastAsia="Calibri" w:hAnsi="Calibri"/>
          <w:b/>
          <w:bCs/>
          <w:i w:val="false"/>
          <w:iCs w:val="false"/>
          <w:color w:val="333333"/>
          <w:sz w:val="20"/>
          <w:szCs w:val="20"/>
        </w:rPr>
        <w:t xml:space="preserve">Severity: </w:t>
      </w:r>
      <w:r>
        <w:rPr>
          <w:rFonts w:ascii="Calibri" w:cs="Calibri" w:eastAsia="Calibri" w:hAnsi="Calibri"/>
          <w:b/>
          <w:bCs/>
          <w:i w:val="false"/>
          <w:iCs w:val="false"/>
          <w:color w:val="27AE60"/>
          <w:sz w:val="20"/>
          <w:szCs w:val="20"/>
        </w:rPr>
        <w:t xml:space="preserve">Informational (Strength)</w:t>
      </w:r>
      <w:r>
        <w:rPr>
          <w:rFonts w:ascii="Calibri" w:cs="Calibri" w:eastAsia="Calibri" w:hAnsi="Calibri"/>
          <w:b/>
          <w:bCs/>
          <w:i w:val="false"/>
          <w:iCs w:val="false"/>
          <w:color w:val="333333"/>
          <w:sz w:val="20"/>
          <w:szCs w:val="20"/>
        </w:rPr>
        <w:t xml:space="preserve">  |  NIST CSF 2.0: </w:t>
      </w:r>
      <w:r>
        <w:rPr>
          <w:rFonts w:ascii="Calibri" w:cs="Calibri" w:eastAsia="Calibri" w:hAnsi="Calibri"/>
          <w:b w:val="false"/>
          <w:bCs w:val="false"/>
          <w:i w:val="false"/>
          <w:iCs w:val="false"/>
          <w:color w:val="333333"/>
          <w:sz w:val="20"/>
          <w:szCs w:val="20"/>
        </w:rPr>
        <w:t xml:space="preserve">GV.OC</w:t>
      </w:r>
      <w:r>
        <w:rPr>
          <w:rFonts w:ascii="Calibri" w:cs="Calibri" w:eastAsia="Calibri" w:hAnsi="Calibri"/>
          <w:b/>
          <w:bCs/>
          <w:i w:val="false"/>
          <w:iCs w:val="false"/>
          <w:color w:val="333333"/>
          <w:sz w:val="20"/>
          <w:szCs w:val="20"/>
        </w:rPr>
        <w:t xml:space="preserve">  |  Timeframe: </w:t>
      </w:r>
      <w:r>
        <w:rPr>
          <w:rFonts w:ascii="Calibri" w:cs="Calibri" w:eastAsia="Calibri" w:hAnsi="Calibri"/>
          <w:b w:val="false"/>
          <w:bCs w:val="false"/>
          <w:i w:val="false"/>
          <w:iCs w:val="false"/>
          <w:color w:val="333333"/>
          <w:sz w:val="20"/>
          <w:szCs w:val="20"/>
        </w:rPr>
        <w:t xml:space="preserve">Maintain</w:t>
      </w:r>
    </w:p>
    <w:p>
      <w:pPr>
        <w:spacing w:after="160" w:line="276"/>
        <w:jc w:val="left"/>
      </w:pPr>
      <w:r>
        <w:rPr>
          <w:rFonts w:ascii="Calibri" w:cs="Calibri" w:eastAsia="Calibri" w:hAnsi="Calibri"/>
          <w:b/>
          <w:bCs/>
          <w:i w:val="false"/>
          <w:iCs w:val="false"/>
          <w:color w:val="333333"/>
          <w:sz w:val="21"/>
          <w:szCs w:val="21"/>
        </w:rPr>
        <w:t xml:space="preserve">Observation: </w:t>
      </w:r>
      <w:r>
        <w:rPr>
          <w:rFonts w:ascii="Calibri" w:cs="Calibri" w:eastAsia="Calibri" w:hAnsi="Calibri"/>
          <w:b w:val="false"/>
          <w:bCs w:val="false"/>
          <w:i w:val="false"/>
          <w:iCs w:val="false"/>
          <w:color w:val="333333"/>
          <w:sz w:val="21"/>
          <w:szCs w:val="21"/>
        </w:rPr>
        <w:t xml:space="preserve">Throughout the exercise, participants openly acknowledged gaps without defensiveness. The CEO's response to the IT single-point-of-failure question ,  "That's a really good question" followed by genuine consideration rather than deflection ,  was representative of the group's overall posture. No participant attempted to minimize gaps or claim capabilities that did not exist. When the Controller admitted uncertainty about insurance coverage, it was stated as fact rather than defended.</w:t>
      </w:r>
    </w:p>
    <w:p>
      <w:pPr>
        <w:spacing w:after="160" w:line="276"/>
        <w:jc w:val="left"/>
      </w:pPr>
      <w:r>
        <w:rPr>
          <w:rFonts w:ascii="Calibri" w:cs="Calibri" w:eastAsia="Calibri" w:hAnsi="Calibri"/>
          <w:b/>
          <w:bCs/>
          <w:i w:val="false"/>
          <w:iCs w:val="false"/>
          <w:color w:val="333333"/>
          <w:sz w:val="21"/>
          <w:szCs w:val="21"/>
        </w:rPr>
        <w:t xml:space="preserve">Context and Risk Impact: </w:t>
      </w:r>
      <w:r>
        <w:rPr>
          <w:rFonts w:ascii="Calibri" w:cs="Calibri" w:eastAsia="Calibri" w:hAnsi="Calibri"/>
          <w:b w:val="false"/>
          <w:bCs w:val="false"/>
          <w:i w:val="false"/>
          <w:iCs w:val="false"/>
          <w:color w:val="333333"/>
          <w:sz w:val="21"/>
          <w:szCs w:val="21"/>
        </w:rPr>
        <w:t xml:space="preserve">An organization that can honestly assess its own preparedness is positioned to improve. Defensiveness and minimization are far more common exercise behaviors and significantly reduce the value of the findings because the report cannot address gaps the organization refuses to acknowledge. Meridian's candor makes the findings in this report actionable because they reflect genuine organizational understanding, not facilitator inference over participant resistance.</w:t>
      </w:r>
    </w:p>
    <w:p>
      <w:pPr>
        <w:spacing w:after="160" w:line="276"/>
        <w:jc w:val="left"/>
      </w:pPr>
      <w:r>
        <w:rPr>
          <w:rFonts w:ascii="Calibri" w:cs="Calibri" w:eastAsia="Calibri" w:hAnsi="Calibri"/>
          <w:b/>
          <w:bCs/>
          <w:i w:val="false"/>
          <w:iCs w:val="false"/>
          <w:color w:val="333333"/>
          <w:sz w:val="21"/>
          <w:szCs w:val="21"/>
        </w:rPr>
        <w:t xml:space="preserve">Recommendation: </w:t>
      </w:r>
      <w:r>
        <w:rPr>
          <w:rFonts w:ascii="Calibri" w:cs="Calibri" w:eastAsia="Calibri" w:hAnsi="Calibri"/>
          <w:b w:val="false"/>
          <w:bCs w:val="false"/>
          <w:i w:val="false"/>
          <w:iCs w:val="false"/>
          <w:color w:val="333333"/>
          <w:sz w:val="21"/>
          <w:szCs w:val="21"/>
        </w:rPr>
        <w:t xml:space="preserve">Maintain this culture of honest self-assessment. It is the single most important foundation for an effective resilience program and the primary reason this report's findings will translate into real operational improvement. This posture should be explicitly recognized and reinforced by leadership.</w:t>
      </w:r>
    </w:p>
    <w:p>
      <w:pPr>
        <w:spacing w:after="80"/>
      </w:pPr>
      <w:r>
        <w:rPr>
          <w:sz w:val="21"/>
          <w:szCs w:val="21"/>
        </w:rPr>
        <w:t xml:space="preserve"/>
      </w:r>
    </w:p>
    <w:p>
      <w:r>
        <w:br w:type="page"/>
      </w:r>
    </w:p>
    <w:p>
      <w:pPr>
        <w:pStyle w:val="Heading1"/>
        <w:spacing w:after="200" w:before="360"/>
      </w:pPr>
      <w:r>
        <w:rPr>
          <w:rFonts w:ascii="Calibri" w:cs="Calibri" w:eastAsia="Calibri" w:hAnsi="Calibri"/>
          <w:b/>
          <w:bCs/>
          <w:color w:val="1B3A5C"/>
          <w:sz w:val="28"/>
          <w:szCs w:val="28"/>
        </w:rPr>
        <w:t xml:space="preserve">7. Strengths Summary</w:t>
      </w:r>
    </w:p>
    <w:p>
      <w:pPr>
        <w:spacing w:after="160" w:line="276"/>
        <w:jc w:val="left"/>
      </w:pPr>
      <w:r>
        <w:rPr>
          <w:rFonts w:ascii="Calibri" w:cs="Calibri" w:eastAsia="Calibri" w:hAnsi="Calibri"/>
          <w:b w:val="false"/>
          <w:bCs w:val="false"/>
          <w:i w:val="false"/>
          <w:iCs w:val="false"/>
          <w:color w:val="333333"/>
          <w:sz w:val="21"/>
          <w:szCs w:val="21"/>
        </w:rPr>
        <w:t xml:space="preserve">Meridian Property Group demonstrated three significant organizational strengths during this exercise that distinguish it from many organizations at a similar stage of resilience maturity. These strengths are not just positive observations to balance the gap findings ,  they are genuine strategic assets that should inform and accelerate the resilience improvement work ahead.</w:t>
      </w:r>
    </w:p>
    <w:p>
      <w:pPr>
        <w:spacing w:after="160" w:line="276"/>
        <w:jc w:val="left"/>
      </w:pPr>
      <w:r>
        <w:rPr>
          <w:rFonts w:ascii="Calibri" w:cs="Calibri" w:eastAsia="Calibri" w:hAnsi="Calibri"/>
          <w:b w:val="false"/>
          <w:bCs w:val="false"/>
          <w:i w:val="false"/>
          <w:iCs w:val="false"/>
          <w:color w:val="333333"/>
          <w:sz w:val="21"/>
          <w:szCs w:val="21"/>
        </w:rPr>
        <w:t xml:space="preserve">First, leadership engagement was consistently strong throughout the exercise. The CEO and VP of Operations actively drove discussion, solicited input across functional areas, and made decisions without unnecessary hesitation. This pattern suggests that Meridian's leadership would perform well during an actual event, provided they have the documented procedures and communication tools to channel that engagement effectively.</w:t>
      </w:r>
    </w:p>
    <w:p>
      <w:pPr>
        <w:spacing w:after="160" w:line="276"/>
        <w:jc w:val="left"/>
      </w:pPr>
      <w:r>
        <w:rPr>
          <w:rFonts w:ascii="Calibri" w:cs="Calibri" w:eastAsia="Calibri" w:hAnsi="Calibri"/>
          <w:b w:val="false"/>
          <w:bCs w:val="false"/>
          <w:i w:val="false"/>
          <w:iCs w:val="false"/>
          <w:color w:val="333333"/>
          <w:sz w:val="21"/>
          <w:szCs w:val="21"/>
        </w:rPr>
        <w:t xml:space="preserve">Second, cross-departmental coordination occurred organically. Participants from HR, maintenance, leasing, finance, and operations proactively raised concerns and collaborated on solutions without being directed to do so. This indicates a functional organizational culture where departmental silos do not prevent effective communication ,  a strength that many larger organizations spend years trying to develop.</w:t>
      </w:r>
    </w:p>
    <w:p>
      <w:pPr>
        <w:spacing w:after="160" w:line="276"/>
        <w:jc w:val="left"/>
      </w:pPr>
      <w:r>
        <w:rPr>
          <w:rFonts w:ascii="Calibri" w:cs="Calibri" w:eastAsia="Calibri" w:hAnsi="Calibri"/>
          <w:b w:val="false"/>
          <w:bCs w:val="false"/>
          <w:i w:val="false"/>
          <w:iCs w:val="false"/>
          <w:color w:val="333333"/>
          <w:sz w:val="21"/>
          <w:szCs w:val="21"/>
        </w:rPr>
        <w:t xml:space="preserve">Third, and perhaps most importantly, participants were remarkably candid about gaps in their preparedness. No one minimized risks, claimed non-existent capabilities, or became defensive when vulnerabilities were exposed. This honesty makes every finding in this report more actionable because it reflects genuine organizational understanding rather than facilitator observation over participant resistance.</w:t>
      </w:r>
    </w:p>
    <w:p>
      <w:pPr>
        <w:spacing w:after="160" w:line="276"/>
        <w:jc w:val="left"/>
      </w:pPr>
      <w:r>
        <w:rPr>
          <w:rFonts w:ascii="Calibri" w:cs="Calibri" w:eastAsia="Calibri" w:hAnsi="Calibri"/>
          <w:b w:val="false"/>
          <w:bCs w:val="false"/>
          <w:i w:val="false"/>
          <w:iCs w:val="false"/>
          <w:color w:val="333333"/>
          <w:sz w:val="21"/>
          <w:szCs w:val="21"/>
        </w:rPr>
        <w:t xml:space="preserve">These three strengths ,  leadership engagement, natural coordination, and honest self-assessment ,  are the foundation on which Meridian should build its formal resilience program. Documented procedures should codify and extend these natural capabilities, not replace them.</w:t>
      </w:r>
    </w:p>
    <w:p>
      <w:r>
        <w:br w:type="page"/>
      </w:r>
    </w:p>
    <w:p>
      <w:pPr>
        <w:pStyle w:val="Heading1"/>
        <w:spacing w:after="200" w:before="360"/>
      </w:pPr>
      <w:r>
        <w:rPr>
          <w:rFonts w:ascii="Calibri" w:cs="Calibri" w:eastAsia="Calibri" w:hAnsi="Calibri"/>
          <w:b/>
          <w:bCs/>
          <w:color w:val="1B3A5C"/>
          <w:sz w:val="28"/>
          <w:szCs w:val="28"/>
        </w:rPr>
        <w:t xml:space="preserve">8. Findings Summary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800"/>
        <w:gridCol w:w="1200"/>
        <w:gridCol w:w="2060"/>
        <w:gridCol w:w="1700"/>
      </w:tblGrid>
      <w:tr>
        <w:trPr>
          <w:tblHeader/>
        </w:trPr>
        <w:tc>
          <w:tcPr>
            <w:tcW w:type="dxa" w:w="6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3800"/>
            <w:shd w:fill="1B3A5C" w:val="clear"/>
            <w:vAlign w:val="center"/>
          </w:tcPr>
          <w:p>
            <w:pPr>
              <w:spacing w:after="40" w:before="40"/>
            </w:pPr>
            <w:r>
              <w:rPr>
                <w:rFonts w:ascii="Calibri" w:cs="Calibri" w:eastAsia="Calibri" w:hAnsi="Calibri"/>
                <w:b/>
                <w:bCs/>
                <w:color w:val="FFFFFF"/>
                <w:sz w:val="19"/>
                <w:szCs w:val="19"/>
              </w:rPr>
              <w:t xml:space="preserve">Finding Title</w:t>
            </w:r>
          </w:p>
        </w:tc>
        <w:tc>
          <w:tcPr>
            <w:tcW w:type="dxa" w:w="1200"/>
            <w:shd w:fill="1B3A5C" w:val="clear"/>
            <w:vAlign w:val="center"/>
          </w:tcPr>
          <w:p>
            <w:pPr>
              <w:spacing w:after="40" w:before="40"/>
            </w:pPr>
            <w:r>
              <w:rPr>
                <w:rFonts w:ascii="Calibri" w:cs="Calibri" w:eastAsia="Calibri" w:hAnsi="Calibri"/>
                <w:b/>
                <w:bCs/>
                <w:color w:val="FFFFFF"/>
                <w:sz w:val="19"/>
                <w:szCs w:val="19"/>
              </w:rPr>
              <w:t xml:space="preserve">Severity</w:t>
            </w:r>
          </w:p>
        </w:tc>
        <w:tc>
          <w:tcPr>
            <w:tcW w:type="dxa" w:w="2060"/>
            <w:shd w:fill="1B3A5C" w:val="clear"/>
            <w:vAlign w:val="center"/>
          </w:tcPr>
          <w:p>
            <w:pPr>
              <w:spacing w:after="40" w:before="40"/>
            </w:pPr>
            <w:r>
              <w:rPr>
                <w:rFonts w:ascii="Calibri" w:cs="Calibri" w:eastAsia="Calibri" w:hAnsi="Calibri"/>
                <w:b/>
                <w:bCs/>
                <w:color w:val="FFFFFF"/>
                <w:sz w:val="19"/>
                <w:szCs w:val="19"/>
              </w:rPr>
              <w:t xml:space="preserve">NIST CSF 2.0</w:t>
            </w:r>
          </w:p>
        </w:tc>
        <w:tc>
          <w:tcPr>
            <w:tcW w:type="dxa" w:w="1700"/>
            <w:shd w:fill="1B3A5C" w:val="clear"/>
            <w:vAlign w:val="center"/>
          </w:tcPr>
          <w:p>
            <w:pPr>
              <w:spacing w:after="40" w:before="40"/>
            </w:pPr>
            <w:r>
              <w:rPr>
                <w:rFonts w:ascii="Calibri" w:cs="Calibri" w:eastAsia="Calibri" w:hAnsi="Calibri"/>
                <w:b/>
                <w:bCs/>
                <w:color w:val="FFFFFF"/>
                <w:sz w:val="19"/>
                <w:szCs w:val="19"/>
              </w:rPr>
              <w:t xml:space="preserve">Remediation Tier</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F-1</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Business Continuity Plan</w:t>
            </w:r>
          </w:p>
        </w:tc>
        <w:tc>
          <w:tcPr>
            <w:tcW w:type="dxa" w:w="1200"/>
            <w:shd w:fill="F2F2F2" w:val="clear"/>
            <w:vAlign w:val="center"/>
          </w:tcPr>
          <w:p>
            <w:pPr>
              <w:spacing w:after="30" w:before="30"/>
            </w:pPr>
            <w:r>
              <w:rPr>
                <w:rFonts w:ascii="Calibri" w:cs="Calibri" w:eastAsia="Calibri" w:hAnsi="Calibri"/>
                <w:b/>
                <w:bCs/>
                <w:i w:val="false"/>
                <w:iCs w:val="false"/>
                <w:color w:val="C0392B"/>
                <w:sz w:val="19"/>
                <w:szCs w:val="19"/>
              </w:rPr>
              <w:t xml:space="preserve">Critical</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GV.OC-01, PR.IP</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Immediate</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F-2</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IT Knowledge Concentrated in Single Individual</w:t>
            </w:r>
          </w:p>
        </w:tc>
        <w:tc>
          <w:tcPr>
            <w:tcW w:type="dxa" w:w="1200"/>
            <w:shd w:fill="FFFFFF" w:val="clear"/>
            <w:vAlign w:val="center"/>
          </w:tcPr>
          <w:p>
            <w:pPr>
              <w:spacing w:after="30" w:before="30"/>
            </w:pPr>
            <w:r>
              <w:rPr>
                <w:rFonts w:ascii="Calibri" w:cs="Calibri" w:eastAsia="Calibri" w:hAnsi="Calibri"/>
                <w:b/>
                <w:bCs/>
                <w:i w:val="false"/>
                <w:iCs w:val="false"/>
                <w:color w:val="C0392B"/>
                <w:sz w:val="19"/>
                <w:szCs w:val="19"/>
              </w:rPr>
              <w:t xml:space="preserve">Critical</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PR.IP, GV.RR-01</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Immediate</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F-3</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Tenant Communication Plan or Templates</w:t>
            </w:r>
          </w:p>
        </w:tc>
        <w:tc>
          <w:tcPr>
            <w:tcW w:type="dxa" w:w="1200"/>
            <w:shd w:fill="F2F2F2"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RS.CO</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Near-Term</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F-4</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Documented Vendor Emergency Contacts or SLAs</w:t>
            </w:r>
          </w:p>
        </w:tc>
        <w:tc>
          <w:tcPr>
            <w:tcW w:type="dxa" w:w="1200"/>
            <w:shd w:fill="FFFFFF"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GV.SC</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Near-Term</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F-5</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Insurance Policy Terms and Notification Unknown</w:t>
            </w:r>
          </w:p>
        </w:tc>
        <w:tc>
          <w:tcPr>
            <w:tcW w:type="dxa" w:w="1200"/>
            <w:shd w:fill="F2F2F2"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GV.OC, ID.RA</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Near-Term</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F-6</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Remote Work Activation Criteria</w:t>
            </w:r>
          </w:p>
        </w:tc>
        <w:tc>
          <w:tcPr>
            <w:tcW w:type="dxa" w:w="1200"/>
            <w:shd w:fill="FFFFFF"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PR.IP, RC.RP</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Planned</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F-7</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Escalation Thresholds or Decision Authority</w:t>
            </w:r>
          </w:p>
        </w:tc>
        <w:tc>
          <w:tcPr>
            <w:tcW w:type="dxa" w:w="1200"/>
            <w:shd w:fill="F2F2F2"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GV.RR, RS.AN</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Planned</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F-8</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Property Owner Communication Not Addressed</w:t>
            </w:r>
          </w:p>
        </w:tc>
        <w:tc>
          <w:tcPr>
            <w:tcW w:type="dxa" w:w="1200"/>
            <w:shd w:fill="FFFFFF"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RS.CO, GV.OC</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Planned</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F-9</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Emergency Supply Kit at Properties</w:t>
            </w:r>
          </w:p>
        </w:tc>
        <w:tc>
          <w:tcPr>
            <w:tcW w:type="dxa" w:w="1200"/>
            <w:shd w:fill="F2F2F2" w:val="clear"/>
            <w:vAlign w:val="center"/>
          </w:tcPr>
          <w:p>
            <w:pPr>
              <w:spacing w:after="30" w:before="30"/>
            </w:pPr>
            <w:r>
              <w:rPr>
                <w:rFonts w:ascii="Calibri" w:cs="Calibri" w:eastAsia="Calibri" w:hAnsi="Calibri"/>
                <w:b/>
                <w:bCs/>
                <w:i w:val="false"/>
                <w:iCs w:val="false"/>
                <w:color w:val="27AE60"/>
                <w:sz w:val="19"/>
                <w:szCs w:val="19"/>
              </w:rPr>
              <w:t xml:space="preserve">Low</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PR.IP</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Opportunistic</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F-10</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Effective Leadership Engagement</w:t>
            </w:r>
          </w:p>
        </w:tc>
        <w:tc>
          <w:tcPr>
            <w:tcW w:type="dxa" w:w="1200"/>
            <w:shd w:fill="FFFFFF" w:val="clear"/>
            <w:vAlign w:val="center"/>
          </w:tcPr>
          <w:p>
            <w:pPr>
              <w:spacing w:after="30" w:before="30"/>
            </w:pPr>
            <w:r>
              <w:rPr>
                <w:rFonts w:ascii="Calibri" w:cs="Calibri" w:eastAsia="Calibri" w:hAnsi="Calibri"/>
                <w:b/>
                <w:bCs/>
                <w:i w:val="false"/>
                <w:iCs w:val="false"/>
                <w:color w:val="2E5F8A"/>
                <w:sz w:val="19"/>
                <w:szCs w:val="19"/>
              </w:rPr>
              <w:t xml:space="preserve">Strength</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GV.RR</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Maintain</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F-11</w:t>
            </w:r>
          </w:p>
        </w:tc>
        <w:tc>
          <w:tcPr>
            <w:tcW w:type="dxa" w:w="3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Cross-Departmental Coordination</w:t>
            </w:r>
          </w:p>
        </w:tc>
        <w:tc>
          <w:tcPr>
            <w:tcW w:type="dxa" w:w="1200"/>
            <w:shd w:fill="F2F2F2" w:val="clear"/>
            <w:vAlign w:val="center"/>
          </w:tcPr>
          <w:p>
            <w:pPr>
              <w:spacing w:after="30" w:before="30"/>
            </w:pPr>
            <w:r>
              <w:rPr>
                <w:rFonts w:ascii="Calibri" w:cs="Calibri" w:eastAsia="Calibri" w:hAnsi="Calibri"/>
                <w:b/>
                <w:bCs/>
                <w:i w:val="false"/>
                <w:iCs w:val="false"/>
                <w:color w:val="2E5F8A"/>
                <w:sz w:val="19"/>
                <w:szCs w:val="19"/>
              </w:rPr>
              <w:t xml:space="preserve">Strength</w:t>
            </w:r>
          </w:p>
        </w:tc>
        <w:tc>
          <w:tcPr>
            <w:tcW w:type="dxa" w:w="20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RS.CO</w:t>
            </w:r>
          </w:p>
        </w:tc>
        <w:tc>
          <w:tcPr>
            <w:tcW w:type="dxa" w:w="17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Maintain</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F-12</w:t>
            </w:r>
          </w:p>
        </w:tc>
        <w:tc>
          <w:tcPr>
            <w:tcW w:type="dxa" w:w="3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Willingness to Acknowledge Gaps</w:t>
            </w:r>
          </w:p>
        </w:tc>
        <w:tc>
          <w:tcPr>
            <w:tcW w:type="dxa" w:w="1200"/>
            <w:shd w:fill="FFFFFF" w:val="clear"/>
            <w:vAlign w:val="center"/>
          </w:tcPr>
          <w:p>
            <w:pPr>
              <w:spacing w:after="30" w:before="30"/>
            </w:pPr>
            <w:r>
              <w:rPr>
                <w:rFonts w:ascii="Calibri" w:cs="Calibri" w:eastAsia="Calibri" w:hAnsi="Calibri"/>
                <w:b/>
                <w:bCs/>
                <w:i w:val="false"/>
                <w:iCs w:val="false"/>
                <w:color w:val="2E5F8A"/>
                <w:sz w:val="19"/>
                <w:szCs w:val="19"/>
              </w:rPr>
              <w:t xml:space="preserve">Strength</w:t>
            </w:r>
          </w:p>
        </w:tc>
        <w:tc>
          <w:tcPr>
            <w:tcW w:type="dxa" w:w="20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GV.OC</w:t>
            </w:r>
          </w:p>
        </w:tc>
        <w:tc>
          <w:tcPr>
            <w:tcW w:type="dxa" w:w="17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Maintain</w:t>
            </w:r>
          </w:p>
        </w:tc>
      </w:tr>
    </w:tbl>
    <w:p>
      <w:r>
        <w:br w:type="page"/>
      </w:r>
    </w:p>
    <w:p>
      <w:pPr>
        <w:pStyle w:val="Heading1"/>
        <w:spacing w:after="200" w:before="360"/>
      </w:pPr>
      <w:r>
        <w:rPr>
          <w:rFonts w:ascii="Calibri" w:cs="Calibri" w:eastAsia="Calibri" w:hAnsi="Calibri"/>
          <w:b/>
          <w:bCs/>
          <w:color w:val="1B3A5C"/>
          <w:sz w:val="28"/>
          <w:szCs w:val="28"/>
        </w:rPr>
        <w:t xml:space="preserve">9. Remediation Roadmap</w:t>
      </w:r>
    </w:p>
    <w:p>
      <w:pPr>
        <w:spacing w:after="160" w:line="276"/>
        <w:jc w:val="left"/>
      </w:pPr>
      <w:r>
        <w:rPr>
          <w:rFonts w:ascii="Calibri" w:cs="Calibri" w:eastAsia="Calibri" w:hAnsi="Calibri"/>
          <w:b w:val="false"/>
          <w:bCs w:val="false"/>
          <w:i w:val="false"/>
          <w:iCs w:val="false"/>
          <w:color w:val="333333"/>
          <w:sz w:val="21"/>
          <w:szCs w:val="21"/>
        </w:rPr>
        <w:t xml:space="preserve">The following roadmap organizes the gap findings by remediation tier. Timeframes represent recommended initiation windows, not completion deadlines. Each action should be assigned an owner, a target start date, and a target completion date using the Improvement Plan in Appendix A.</w:t>
      </w:r>
    </w:p>
    <w:p>
      <w:pPr>
        <w:pStyle w:val="Heading2"/>
        <w:spacing w:after="160" w:before="280"/>
      </w:pPr>
      <w:r>
        <w:rPr>
          <w:rFonts w:ascii="Calibri" w:cs="Calibri" w:eastAsia="Calibri" w:hAnsi="Calibri"/>
          <w:b/>
          <w:bCs/>
          <w:color w:val="2E5F8A"/>
          <w:sz w:val="24"/>
          <w:szCs w:val="24"/>
        </w:rPr>
        <w:t xml:space="preserve">Tier 1: Immediate (0-30 Days to Initiate)</w:t>
      </w:r>
    </w:p>
    <w:p>
      <w:pPr>
        <w:spacing w:after="160" w:line="276"/>
        <w:jc w:val="left"/>
      </w:pPr>
      <w:r>
        <w:rPr>
          <w:rFonts w:ascii="Calibri" w:cs="Calibri" w:eastAsia="Calibri" w:hAnsi="Calibri"/>
          <w:b w:val="false"/>
          <w:bCs w:val="false"/>
          <w:i w:val="false"/>
          <w:iCs w:val="false"/>
          <w:color w:val="333333"/>
          <w:sz w:val="21"/>
          <w:szCs w:val="21"/>
        </w:rPr>
        <w:t xml:space="preserve">These findings represent foundational gaps that amplify all other risks. Initiating action on these items is the highest priority.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500"/>
        <w:gridCol w:w="5260"/>
      </w:tblGrid>
      <w:tr>
        <w:trPr>
          <w:tblHeader/>
        </w:trPr>
        <w:tc>
          <w:tcPr>
            <w:tcW w:type="dxa" w:w="6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3500"/>
            <w:shd w:fill="1B3A5C" w:val="clear"/>
            <w:vAlign w:val="center"/>
          </w:tcPr>
          <w:p>
            <w:pPr>
              <w:spacing w:after="40" w:before="40"/>
            </w:pPr>
            <w:r>
              <w:rPr>
                <w:rFonts w:ascii="Calibri" w:cs="Calibri" w:eastAsia="Calibri" w:hAnsi="Calibri"/>
                <w:b/>
                <w:bCs/>
                <w:color w:val="FFFFFF"/>
                <w:sz w:val="19"/>
                <w:szCs w:val="19"/>
              </w:rPr>
              <w:t xml:space="preserve">Finding</w:t>
            </w:r>
          </w:p>
        </w:tc>
        <w:tc>
          <w:tcPr>
            <w:tcW w:type="dxa" w:w="5260"/>
            <w:shd w:fill="1B3A5C" w:val="clear"/>
            <w:vAlign w:val="center"/>
          </w:tcPr>
          <w:p>
            <w:pPr>
              <w:spacing w:after="40" w:before="40"/>
            </w:pPr>
            <w:r>
              <w:rPr>
                <w:rFonts w:ascii="Calibri" w:cs="Calibri" w:eastAsia="Calibri" w:hAnsi="Calibri"/>
                <w:b/>
                <w:bCs/>
                <w:color w:val="FFFFFF"/>
                <w:sz w:val="19"/>
                <w:szCs w:val="19"/>
              </w:rPr>
              <w:t xml:space="preserve">Recommended First Action</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F-1</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Business Continuity Plan</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Assign BCP development owner; identify top 3 scenarios; begin plan framework</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F-2</w:t>
            </w:r>
          </w:p>
        </w:tc>
        <w:tc>
          <w:tcPr>
            <w:tcW w:type="dxa" w:w="3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IT Knowledge Concentrated in Single Individual</w:t>
            </w:r>
          </w:p>
        </w:tc>
        <w:tc>
          <w:tcPr>
            <w:tcW w:type="dxa" w:w="5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Begin IT systems documentation; identify secondary IT contact candidate</w:t>
            </w:r>
          </w:p>
        </w:tc>
      </w:tr>
    </w:tbl>
    <w:p>
      <w:pPr>
        <w:spacing w:after="16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Tier 2: Near-Term (30-60 Days)</w:t>
      </w:r>
    </w:p>
    <w:p>
      <w:pPr>
        <w:spacing w:after="160" w:line="276"/>
        <w:jc w:val="left"/>
      </w:pPr>
      <w:r>
        <w:rPr>
          <w:rFonts w:ascii="Calibri" w:cs="Calibri" w:eastAsia="Calibri" w:hAnsi="Calibri"/>
          <w:b w:val="false"/>
          <w:bCs w:val="false"/>
          <w:i w:val="false"/>
          <w:iCs w:val="false"/>
          <w:color w:val="333333"/>
          <w:sz w:val="21"/>
          <w:szCs w:val="21"/>
        </w:rPr>
        <w:t xml:space="preserve">These findings address communication and coordination gaps that would materially impair response effectiveness.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500"/>
        <w:gridCol w:w="5260"/>
      </w:tblGrid>
      <w:tr>
        <w:trPr>
          <w:tblHeader/>
        </w:trPr>
        <w:tc>
          <w:tcPr>
            <w:tcW w:type="dxa" w:w="6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3500"/>
            <w:shd w:fill="1B3A5C" w:val="clear"/>
            <w:vAlign w:val="center"/>
          </w:tcPr>
          <w:p>
            <w:pPr>
              <w:spacing w:after="40" w:before="40"/>
            </w:pPr>
            <w:r>
              <w:rPr>
                <w:rFonts w:ascii="Calibri" w:cs="Calibri" w:eastAsia="Calibri" w:hAnsi="Calibri"/>
                <w:b/>
                <w:bCs/>
                <w:color w:val="FFFFFF"/>
                <w:sz w:val="19"/>
                <w:szCs w:val="19"/>
              </w:rPr>
              <w:t xml:space="preserve">Finding</w:t>
            </w:r>
          </w:p>
        </w:tc>
        <w:tc>
          <w:tcPr>
            <w:tcW w:type="dxa" w:w="5260"/>
            <w:shd w:fill="1B3A5C" w:val="clear"/>
            <w:vAlign w:val="center"/>
          </w:tcPr>
          <w:p>
            <w:pPr>
              <w:spacing w:after="40" w:before="40"/>
            </w:pPr>
            <w:r>
              <w:rPr>
                <w:rFonts w:ascii="Calibri" w:cs="Calibri" w:eastAsia="Calibri" w:hAnsi="Calibri"/>
                <w:b/>
                <w:bCs/>
                <w:color w:val="FFFFFF"/>
                <w:sz w:val="19"/>
                <w:szCs w:val="19"/>
              </w:rPr>
              <w:t xml:space="preserve">Recommended First Action</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F-3</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Tenant Communication Plan</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Draft holding statements for top 3 disruption types; designate regional spokespersons</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F-4</w:t>
            </w:r>
          </w:p>
        </w:tc>
        <w:tc>
          <w:tcPr>
            <w:tcW w:type="dxa" w:w="3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Vendor Emergency Contacts</w:t>
            </w:r>
          </w:p>
        </w:tc>
        <w:tc>
          <w:tcPr>
            <w:tcW w:type="dxa" w:w="5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Compile critical vendor directory starting with top 10 vendors by service criticality</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F-5</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Insurance Policy Terms Unknown</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Schedule policy review meeting with insurance broker within 30 days</w:t>
            </w:r>
          </w:p>
        </w:tc>
      </w:tr>
    </w:tbl>
    <w:p>
      <w:pPr>
        <w:spacing w:after="16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Tier 3: Planned (60-90 Days)</w:t>
      </w:r>
    </w:p>
    <w:p>
      <w:pPr>
        <w:spacing w:after="160" w:line="276"/>
        <w:jc w:val="left"/>
      </w:pPr>
      <w:r>
        <w:rPr>
          <w:rFonts w:ascii="Calibri" w:cs="Calibri" w:eastAsia="Calibri" w:hAnsi="Calibri"/>
          <w:b w:val="false"/>
          <w:bCs w:val="false"/>
          <w:i w:val="false"/>
          <w:iCs w:val="false"/>
          <w:color w:val="333333"/>
          <w:sz w:val="21"/>
          <w:szCs w:val="21"/>
        </w:rPr>
        <w:t xml:space="preserve">These findings address operational procedures and decision-making structures.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500"/>
        <w:gridCol w:w="5260"/>
      </w:tblGrid>
      <w:tr>
        <w:trPr>
          <w:tblHeader/>
        </w:trPr>
        <w:tc>
          <w:tcPr>
            <w:tcW w:type="dxa" w:w="6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3500"/>
            <w:shd w:fill="1B3A5C" w:val="clear"/>
            <w:vAlign w:val="center"/>
          </w:tcPr>
          <w:p>
            <w:pPr>
              <w:spacing w:after="40" w:before="40"/>
            </w:pPr>
            <w:r>
              <w:rPr>
                <w:rFonts w:ascii="Calibri" w:cs="Calibri" w:eastAsia="Calibri" w:hAnsi="Calibri"/>
                <w:b/>
                <w:bCs/>
                <w:color w:val="FFFFFF"/>
                <w:sz w:val="19"/>
                <w:szCs w:val="19"/>
              </w:rPr>
              <w:t xml:space="preserve">Finding</w:t>
            </w:r>
          </w:p>
        </w:tc>
        <w:tc>
          <w:tcPr>
            <w:tcW w:type="dxa" w:w="5260"/>
            <w:shd w:fill="1B3A5C" w:val="clear"/>
            <w:vAlign w:val="center"/>
          </w:tcPr>
          <w:p>
            <w:pPr>
              <w:spacing w:after="40" w:before="40"/>
            </w:pPr>
            <w:r>
              <w:rPr>
                <w:rFonts w:ascii="Calibri" w:cs="Calibri" w:eastAsia="Calibri" w:hAnsi="Calibri"/>
                <w:b/>
                <w:bCs/>
                <w:color w:val="FFFFFF"/>
                <w:sz w:val="19"/>
                <w:szCs w:val="19"/>
              </w:rPr>
              <w:t xml:space="preserve">Recommended First Action</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F-6</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Remote Work Activation Criteria</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Define activation criteria and test remote access for critical functions</w:t>
            </w:r>
          </w:p>
        </w:tc>
      </w:tr>
      <w:tr>
        <w:tc>
          <w:tcPr>
            <w:tcW w:type="dxa" w:w="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F-7</w:t>
            </w:r>
          </w:p>
        </w:tc>
        <w:tc>
          <w:tcPr>
            <w:tcW w:type="dxa" w:w="3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Escalation Thresholds</w:t>
            </w:r>
          </w:p>
        </w:tc>
        <w:tc>
          <w:tcPr>
            <w:tcW w:type="dxa" w:w="5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Document decision authority matrix with expenditure thresholds</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F-8</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Property Owner Communication Gap</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Review contracts for owner notification requirements; draft communication protocol</w:t>
            </w:r>
          </w:p>
        </w:tc>
      </w:tr>
    </w:tbl>
    <w:p>
      <w:pPr>
        <w:spacing w:after="16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Tier 4: Opportunistic (90-180 Days)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3500"/>
        <w:gridCol w:w="5260"/>
      </w:tblGrid>
      <w:tr>
        <w:trPr>
          <w:tblHeader/>
        </w:trPr>
        <w:tc>
          <w:tcPr>
            <w:tcW w:type="dxa" w:w="6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3500"/>
            <w:shd w:fill="1B3A5C" w:val="clear"/>
            <w:vAlign w:val="center"/>
          </w:tcPr>
          <w:p>
            <w:pPr>
              <w:spacing w:after="40" w:before="40"/>
            </w:pPr>
            <w:r>
              <w:rPr>
                <w:rFonts w:ascii="Calibri" w:cs="Calibri" w:eastAsia="Calibri" w:hAnsi="Calibri"/>
                <w:b/>
                <w:bCs/>
                <w:color w:val="FFFFFF"/>
                <w:sz w:val="19"/>
                <w:szCs w:val="19"/>
              </w:rPr>
              <w:t xml:space="preserve">Finding</w:t>
            </w:r>
          </w:p>
        </w:tc>
        <w:tc>
          <w:tcPr>
            <w:tcW w:type="dxa" w:w="5260"/>
            <w:shd w:fill="1B3A5C" w:val="clear"/>
            <w:vAlign w:val="center"/>
          </w:tcPr>
          <w:p>
            <w:pPr>
              <w:spacing w:after="40" w:before="40"/>
            </w:pPr>
            <w:r>
              <w:rPr>
                <w:rFonts w:ascii="Calibri" w:cs="Calibri" w:eastAsia="Calibri" w:hAnsi="Calibri"/>
                <w:b/>
                <w:bCs/>
                <w:color w:val="FFFFFF"/>
                <w:sz w:val="19"/>
                <w:szCs w:val="19"/>
              </w:rPr>
              <w:t xml:space="preserve">Recommended First Action</w:t>
            </w:r>
          </w:p>
        </w:tc>
      </w:tr>
      <w:tr>
        <w:tc>
          <w:tcPr>
            <w:tcW w:type="dxa" w:w="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F-9</w:t>
            </w:r>
          </w:p>
        </w:tc>
        <w:tc>
          <w:tcPr>
            <w:tcW w:type="dxa" w:w="3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Emergency Supply Kits</w:t>
            </w:r>
          </w:p>
        </w:tc>
        <w:tc>
          <w:tcPr>
            <w:tcW w:type="dxa" w:w="5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Develop supply checklist by property type; stage kits at 6 highest-risk properties</w:t>
            </w:r>
          </w:p>
        </w:tc>
      </w:tr>
    </w:tbl>
    <w:p>
      <w:pPr>
        <w:spacing w:after="160"/>
      </w:pPr>
      <w:r>
        <w:rPr>
          <w:sz w:val="21"/>
          <w:szCs w:val="21"/>
        </w:rPr>
        <w:t xml:space="preserve"/>
      </w:r>
    </w:p>
    <w:p>
      <w:pPr>
        <w:pStyle w:val="Heading2"/>
        <w:spacing w:after="160" w:before="280"/>
      </w:pPr>
      <w:r>
        <w:rPr>
          <w:rFonts w:ascii="Calibri" w:cs="Calibri" w:eastAsia="Calibri" w:hAnsi="Calibri"/>
          <w:b/>
          <w:bCs/>
          <w:color w:val="2E5F8A"/>
          <w:sz w:val="24"/>
          <w:szCs w:val="24"/>
        </w:rPr>
        <w:t xml:space="preserve">Maintain</w:t>
      </w:r>
    </w:p>
    <w:p>
      <w:pPr>
        <w:spacing w:after="160" w:line="276"/>
        <w:jc w:val="left"/>
      </w:pPr>
      <w:r>
        <w:rPr>
          <w:rFonts w:ascii="Calibri" w:cs="Calibri" w:eastAsia="Calibri" w:hAnsi="Calibri"/>
          <w:b w:val="false"/>
          <w:bCs w:val="false"/>
          <w:i w:val="false"/>
          <w:iCs w:val="false"/>
          <w:color w:val="333333"/>
          <w:sz w:val="21"/>
          <w:szCs w:val="21"/>
        </w:rPr>
        <w:t xml:space="preserve">Findings F-10, F-11, and F-12 document organizational strengths. No corrective action is required. These strengths should be recognized, reinforced, and used as the foundation for the resilience improvement program.</w:t>
      </w:r>
    </w:p>
    <w:p>
      <w:r>
        <w:br w:type="page"/>
      </w:r>
    </w:p>
    <w:p>
      <w:pPr>
        <w:pStyle w:val="Heading1"/>
        <w:spacing w:after="200" w:before="360"/>
      </w:pPr>
      <w:r>
        <w:rPr>
          <w:rFonts w:ascii="Calibri" w:cs="Calibri" w:eastAsia="Calibri" w:hAnsi="Calibri"/>
          <w:b/>
          <w:bCs/>
          <w:color w:val="1B3A5C"/>
          <w:sz w:val="28"/>
          <w:szCs w:val="28"/>
        </w:rPr>
        <w:t xml:space="preserve">10. Conclusion and Next Steps</w:t>
      </w:r>
    </w:p>
    <w:p>
      <w:pPr>
        <w:spacing w:after="160" w:line="276"/>
        <w:jc w:val="left"/>
      </w:pPr>
      <w:r>
        <w:rPr>
          <w:rFonts w:ascii="Calibri" w:cs="Calibri" w:eastAsia="Calibri" w:hAnsi="Calibri"/>
          <w:b w:val="false"/>
          <w:bCs w:val="false"/>
          <w:i w:val="false"/>
          <w:iCs w:val="false"/>
          <w:color w:val="333333"/>
          <w:sz w:val="21"/>
          <w:szCs w:val="21"/>
        </w:rPr>
        <w:t xml:space="preserve">Meridian Property Group demonstrated strong cultural foundations for business resilience but lacks the documented procedures, system redundancies, and communication protocols necessary to translate that culture into reliable crisis response. The exercise revealed that Meridian's ability to respond to a significant disruption currently depends on the availability of specific individuals, the contents of personal phones, and the ability to make good decisions under pressure without the support of documented plans or pre-established protocols.</w:t>
      </w:r>
    </w:p>
    <w:p>
      <w:pPr>
        <w:spacing w:after="160" w:line="276"/>
        <w:jc w:val="left"/>
      </w:pPr>
      <w:r>
        <w:rPr>
          <w:rFonts w:ascii="Calibri" w:cs="Calibri" w:eastAsia="Calibri" w:hAnsi="Calibri"/>
          <w:b w:val="false"/>
          <w:bCs w:val="false"/>
          <w:i w:val="false"/>
          <w:iCs w:val="false"/>
          <w:color w:val="333333"/>
          <w:sz w:val="21"/>
          <w:szCs w:val="21"/>
        </w:rPr>
        <w:t xml:space="preserve">The good news is that Meridian's organizational culture ,  demonstrated through leadership engagement, cross-departmental coordination, and honest self-assessment ,  provides an unusually strong foundation for improvement. Many organizations require significant cultural change before documented plans and procedures become effective; Meridian can proceed directly to building the documentation and redundancies that its culture is already prepared to use.</w:t>
      </w:r>
    </w:p>
    <w:p>
      <w:pPr>
        <w:pStyle w:val="Heading2"/>
        <w:spacing w:after="160" w:before="280"/>
      </w:pPr>
      <w:r>
        <w:rPr>
          <w:rFonts w:ascii="Calibri" w:cs="Calibri" w:eastAsia="Calibri" w:hAnsi="Calibri"/>
          <w:b/>
          <w:bCs/>
          <w:color w:val="2E5F8A"/>
          <w:sz w:val="24"/>
          <w:szCs w:val="24"/>
        </w:rPr>
        <w:t xml:space="preserve">Recommended Next Steps</w:t>
      </w:r>
    </w:p>
    <w:p>
      <w:pPr>
        <w:spacing w:after="160" w:line="276"/>
        <w:jc w:val="left"/>
      </w:pPr>
      <w:r>
        <w:rPr>
          <w:rFonts w:ascii="Calibri" w:cs="Calibri" w:eastAsia="Calibri" w:hAnsi="Calibri"/>
          <w:b/>
          <w:bCs/>
          <w:i w:val="false"/>
          <w:iCs w:val="false"/>
          <w:color w:val="333333"/>
          <w:sz w:val="21"/>
          <w:szCs w:val="21"/>
        </w:rPr>
        <w:t xml:space="preserve">1. </w:t>
      </w:r>
      <w:r>
        <w:rPr>
          <w:rFonts w:ascii="Calibri" w:cs="Calibri" w:eastAsia="Calibri" w:hAnsi="Calibri"/>
          <w:b w:val="false"/>
          <w:bCs w:val="false"/>
          <w:i w:val="false"/>
          <w:iCs w:val="false"/>
          <w:color w:val="333333"/>
          <w:sz w:val="21"/>
          <w:szCs w:val="21"/>
        </w:rPr>
        <w:t xml:space="preserve">Begin with the two Critical findings: Assign ownership for BCP development (F-1) and IT systems documentation (F-2) within 30 days. These are foundational actions that reduce risk across all other findings.</w:t>
      </w:r>
    </w:p>
    <w:p>
      <w:pPr>
        <w:spacing w:after="160" w:line="276"/>
        <w:jc w:val="left"/>
      </w:pPr>
      <w:r>
        <w:rPr>
          <w:rFonts w:ascii="Calibri" w:cs="Calibri" w:eastAsia="Calibri" w:hAnsi="Calibri"/>
          <w:b/>
          <w:bCs/>
          <w:i w:val="false"/>
          <w:iCs w:val="false"/>
          <w:color w:val="333333"/>
          <w:sz w:val="21"/>
          <w:szCs w:val="21"/>
        </w:rPr>
        <w:t xml:space="preserve">2. </w:t>
      </w:r>
      <w:r>
        <w:rPr>
          <w:rFonts w:ascii="Calibri" w:cs="Calibri" w:eastAsia="Calibri" w:hAnsi="Calibri"/>
          <w:b w:val="false"/>
          <w:bCs w:val="false"/>
          <w:i w:val="false"/>
          <w:iCs w:val="false"/>
          <w:color w:val="333333"/>
          <w:sz w:val="21"/>
          <w:szCs w:val="21"/>
        </w:rPr>
        <w:t xml:space="preserve">Schedule a policy review with the insurance broker (F-5) within 30 days. This is a single meeting that addresses a High-severity finding with minimal effort.</w:t>
      </w:r>
    </w:p>
    <w:p>
      <w:pPr>
        <w:spacing w:after="160" w:line="276"/>
        <w:jc w:val="left"/>
      </w:pPr>
      <w:r>
        <w:rPr>
          <w:rFonts w:ascii="Calibri" w:cs="Calibri" w:eastAsia="Calibri" w:hAnsi="Calibri"/>
          <w:b/>
          <w:bCs/>
          <w:i w:val="false"/>
          <w:iCs w:val="false"/>
          <w:color w:val="333333"/>
          <w:sz w:val="21"/>
          <w:szCs w:val="21"/>
        </w:rPr>
        <w:t xml:space="preserve">3. </w:t>
      </w:r>
      <w:r>
        <w:rPr>
          <w:rFonts w:ascii="Calibri" w:cs="Calibri" w:eastAsia="Calibri" w:hAnsi="Calibri"/>
          <w:b w:val="false"/>
          <w:bCs w:val="false"/>
          <w:i w:val="false"/>
          <w:iCs w:val="false"/>
          <w:color w:val="333333"/>
          <w:sz w:val="21"/>
          <w:szCs w:val="21"/>
        </w:rPr>
        <w:t xml:space="preserve">Develop tenant and owner communication protocols (F-3, F-8) within 60 days. These address the highest-visibility gaps that affect Meridian's most important external relationships.</w:t>
      </w:r>
    </w:p>
    <w:p>
      <w:pPr>
        <w:spacing w:after="160" w:line="276"/>
        <w:jc w:val="left"/>
      </w:pPr>
      <w:r>
        <w:rPr>
          <w:rFonts w:ascii="Calibri" w:cs="Calibri" w:eastAsia="Calibri" w:hAnsi="Calibri"/>
          <w:b/>
          <w:bCs/>
          <w:i w:val="false"/>
          <w:iCs w:val="false"/>
          <w:color w:val="333333"/>
          <w:sz w:val="21"/>
          <w:szCs w:val="21"/>
        </w:rPr>
        <w:t xml:space="preserve">4. </w:t>
      </w:r>
      <w:r>
        <w:rPr>
          <w:rFonts w:ascii="Calibri" w:cs="Calibri" w:eastAsia="Calibri" w:hAnsi="Calibri"/>
          <w:b w:val="false"/>
          <w:bCs w:val="false"/>
          <w:i w:val="false"/>
          <w:iCs w:val="false"/>
          <w:color w:val="333333"/>
          <w:sz w:val="21"/>
          <w:szCs w:val="21"/>
        </w:rPr>
        <w:t xml:space="preserve">Plan a follow-up tabletop exercise within 12 months to validate improvements and test the new business continuity plan against a different scenario.</w:t>
      </w:r>
    </w:p>
    <w:p>
      <w:pPr>
        <w:spacing w:after="160" w:line="276"/>
        <w:jc w:val="left"/>
      </w:pPr>
      <w:r>
        <w:rPr>
          <w:rFonts w:ascii="Calibri" w:cs="Calibri" w:eastAsia="Calibri" w:hAnsi="Calibri"/>
          <w:b/>
          <w:bCs/>
          <w:i w:val="false"/>
          <w:iCs w:val="false"/>
          <w:color w:val="333333"/>
          <w:sz w:val="21"/>
          <w:szCs w:val="21"/>
        </w:rPr>
        <w:t xml:space="preserve">5. </w:t>
      </w:r>
      <w:r>
        <w:rPr>
          <w:rFonts w:ascii="Calibri" w:cs="Calibri" w:eastAsia="Calibri" w:hAnsi="Calibri"/>
          <w:b w:val="false"/>
          <w:bCs w:val="false"/>
          <w:i w:val="false"/>
          <w:iCs w:val="false"/>
          <w:color w:val="333333"/>
          <w:sz w:val="21"/>
          <w:szCs w:val="21"/>
        </w:rPr>
        <w:t xml:space="preserve">Consider expanding the next exercise to include property-level staff, the insurance broker, and legal counsel to address the participation gaps noted in this exercise.</w:t>
      </w:r>
    </w:p>
    <w:p>
      <w:pPr>
        <w:spacing w:after="160"/>
      </w:pPr>
      <w:r>
        <w:rPr>
          <w:sz w:val="21"/>
          <w:szCs w:val="21"/>
        </w:rPr>
        <w:t xml:space="preserve"/>
      </w:r>
    </w:p>
    <w:p>
      <w:pPr>
        <w:spacing w:after="160" w:line="276"/>
        <w:jc w:val="left"/>
      </w:pPr>
      <w:r>
        <w:rPr>
          <w:rFonts w:ascii="Calibri" w:cs="Calibri" w:eastAsia="Calibri" w:hAnsi="Calibri"/>
          <w:b w:val="false"/>
          <w:bCs w:val="false"/>
          <w:i w:val="false"/>
          <w:iCs w:val="false"/>
          <w:color w:val="333333"/>
          <w:sz w:val="21"/>
          <w:szCs w:val="21"/>
        </w:rPr>
        <w:t xml:space="preserve">This was Meridian Property Group's first tabletop exercise. The candor, engagement, and collaborative spirit demonstrated by participants was notably strong ,  a genuinely positive indicator for the improvement work ahead. The findings in this report are not a criticism of the organization but a roadmap for building on an already solid cultural foundation.</w:t>
      </w:r>
    </w:p>
    <w:p>
      <w:r>
        <w:br w:type="page"/>
      </w:r>
    </w:p>
    <w:p>
      <w:pPr>
        <w:pStyle w:val="Heading1"/>
        <w:spacing w:after="200" w:before="360"/>
      </w:pPr>
      <w:r>
        <w:rPr>
          <w:rFonts w:ascii="Calibri" w:cs="Calibri" w:eastAsia="Calibri" w:hAnsi="Calibri"/>
          <w:b/>
          <w:bCs/>
          <w:color w:val="1B3A5C"/>
          <w:sz w:val="28"/>
          <w:szCs w:val="28"/>
        </w:rPr>
        <w:t xml:space="preserve">11. Legal Status, Privilege, and Distribution</w:t>
      </w:r>
    </w:p>
    <w:p>
      <w:pPr>
        <w:pStyle w:val="Heading2"/>
        <w:spacing w:after="160" w:before="280"/>
      </w:pPr>
      <w:r>
        <w:rPr>
          <w:rFonts w:ascii="Calibri" w:cs="Calibri" w:eastAsia="Calibri" w:hAnsi="Calibri"/>
          <w:b/>
          <w:bCs/>
          <w:color w:val="2E5F8A"/>
          <w:sz w:val="24"/>
          <w:szCs w:val="24"/>
        </w:rPr>
        <w:t xml:space="preserve">11.1 Engagement Status</w:t>
      </w:r>
    </w:p>
    <w:p>
      <w:pPr>
        <w:spacing w:after="160" w:line="276"/>
        <w:jc w:val="left"/>
      </w:pPr>
      <w:r>
        <w:rPr>
          <w:rFonts w:ascii="Calibri" w:cs="Calibri" w:eastAsia="Calibri" w:hAnsi="Calibri"/>
          <w:b w:val="false"/>
          <w:bCs w:val="false"/>
          <w:i w:val="false"/>
          <w:iCs w:val="false"/>
          <w:color w:val="333333"/>
          <w:sz w:val="21"/>
          <w:szCs w:val="21"/>
        </w:rPr>
        <w:t xml:space="preserve">This tabletop exercise was conducted as an advisory engagement between [YOUR ORGANIZATION NAME] and Meridian Property Group, LLC. The exercise and this report are not conducted under or protected by attorney-client privilege, work product doctrine, or any other legal privilege unless a separate privilege arrangement has been established in writing between the parties and their respective legal counsel.</w:t>
      </w:r>
    </w:p>
    <w:p>
      <w:pPr>
        <w:pStyle w:val="Heading2"/>
        <w:spacing w:after="160" w:before="280"/>
      </w:pPr>
      <w:r>
        <w:rPr>
          <w:rFonts w:ascii="Calibri" w:cs="Calibri" w:eastAsia="Calibri" w:hAnsi="Calibri"/>
          <w:b/>
          <w:bCs/>
          <w:color w:val="2E5F8A"/>
          <w:sz w:val="24"/>
          <w:szCs w:val="24"/>
        </w:rPr>
        <w:t xml:space="preserve">11.2 Confidentiality</w:t>
      </w:r>
    </w:p>
    <w:p>
      <w:pPr>
        <w:spacing w:after="160" w:line="276"/>
        <w:jc w:val="left"/>
      </w:pPr>
      <w:r>
        <w:rPr>
          <w:rFonts w:ascii="Calibri" w:cs="Calibri" w:eastAsia="Calibri" w:hAnsi="Calibri"/>
          <w:b w:val="false"/>
          <w:bCs w:val="false"/>
          <w:i w:val="false"/>
          <w:iCs w:val="false"/>
          <w:color w:val="333333"/>
          <w:sz w:val="21"/>
          <w:szCs w:val="21"/>
        </w:rPr>
        <w:t xml:space="preserve">This report is the confidential property of Meridian Property Group, LLC. It contains information about the organization's business resilience posture, including identified vulnerabilities and gaps, that could be harmful if disclosed to unauthorized parties. This report should be treated as confidential business information and protected accordingly.</w:t>
      </w:r>
    </w:p>
    <w:p>
      <w:pPr>
        <w:pStyle w:val="Heading2"/>
        <w:spacing w:after="160" w:before="280"/>
      </w:pPr>
      <w:r>
        <w:rPr>
          <w:rFonts w:ascii="Calibri" w:cs="Calibri" w:eastAsia="Calibri" w:hAnsi="Calibri"/>
          <w:b/>
          <w:bCs/>
          <w:color w:val="2E5F8A"/>
          <w:sz w:val="24"/>
          <w:szCs w:val="24"/>
        </w:rPr>
        <w:t xml:space="preserve">11.3 Distribution</w:t>
      </w:r>
    </w:p>
    <w:p>
      <w:pPr>
        <w:spacing w:after="160" w:line="276"/>
        <w:jc w:val="left"/>
      </w:pPr>
      <w:r>
        <w:rPr>
          <w:rFonts w:ascii="Calibri" w:cs="Calibri" w:eastAsia="Calibri" w:hAnsi="Calibri"/>
          <w:b w:val="false"/>
          <w:bCs w:val="false"/>
          <w:i w:val="false"/>
          <w:iCs w:val="false"/>
          <w:color w:val="333333"/>
          <w:sz w:val="21"/>
          <w:szCs w:val="21"/>
        </w:rPr>
        <w:t xml:space="preserve">Distribution of this report is limited to authorized recipients designated by Meridian Property Group, LLC. Recipients should not further distribute, copy, or share this report without written authorization from Meridian Property Group's CEO or designated representative.</w:t>
      </w:r>
    </w:p>
    <w:p>
      <w:pPr>
        <w:pStyle w:val="Heading2"/>
        <w:spacing w:after="160" w:before="280"/>
      </w:pPr>
      <w:r>
        <w:rPr>
          <w:rFonts w:ascii="Calibri" w:cs="Calibri" w:eastAsia="Calibri" w:hAnsi="Calibri"/>
          <w:b/>
          <w:bCs/>
          <w:color w:val="2E5F8A"/>
          <w:sz w:val="24"/>
          <w:szCs w:val="24"/>
        </w:rPr>
        <w:t xml:space="preserve">11.4 Data Handling</w:t>
      </w:r>
    </w:p>
    <w:p>
      <w:pPr>
        <w:spacing w:after="160" w:line="276"/>
        <w:jc w:val="left"/>
      </w:pPr>
      <w:r>
        <w:rPr>
          <w:rFonts w:ascii="Calibri" w:cs="Calibri" w:eastAsia="Calibri" w:hAnsi="Calibri"/>
          <w:b w:val="false"/>
          <w:bCs w:val="false"/>
          <w:i w:val="false"/>
          <w:iCs w:val="false"/>
          <w:color w:val="333333"/>
          <w:sz w:val="21"/>
          <w:szCs w:val="21"/>
        </w:rPr>
        <w:t xml:space="preserve">All exercise materials, notes, observations, and draft documents created during the exercise and report development process will be handled in accordance with the data handling provisions specified in the Statement of Work between [YOUR ORGANIZATION NAME] and Meridian Property Group, LLC. Working notes and draft materials will be securely destroyed within 30 days of final report delivery unless otherwise specified in the SOW.</w:t>
      </w:r>
    </w:p>
    <w:p>
      <w:r>
        <w:br w:type="page"/>
      </w:r>
    </w:p>
    <w:p>
      <w:pPr>
        <w:pStyle w:val="Heading1"/>
        <w:spacing w:after="200" w:before="360"/>
      </w:pPr>
      <w:r>
        <w:rPr>
          <w:rFonts w:ascii="Calibri" w:cs="Calibri" w:eastAsia="Calibri" w:hAnsi="Calibri"/>
          <w:b/>
          <w:bCs/>
          <w:color w:val="1B3A5C"/>
          <w:sz w:val="28"/>
          <w:szCs w:val="28"/>
        </w:rPr>
        <w:t xml:space="preserve">Appendix A: Improvement Plan</w:t>
      </w:r>
    </w:p>
    <w:p>
      <w:pPr>
        <w:spacing w:after="160" w:line="276"/>
        <w:jc w:val="left"/>
      </w:pPr>
      <w:r>
        <w:rPr>
          <w:rFonts w:ascii="Calibri" w:cs="Calibri" w:eastAsia="Calibri" w:hAnsi="Calibri"/>
          <w:b w:val="false"/>
          <w:bCs w:val="false"/>
          <w:i w:val="false"/>
          <w:iCs w:val="false"/>
          <w:color w:val="333333"/>
          <w:sz w:val="21"/>
          <w:szCs w:val="21"/>
        </w:rPr>
        <w:t xml:space="preserve">The following table summarizes all gap findings with space for Meridian Property Group to assign ownership, target dates, and track status. This table should be extracted and used as a working document for remediation tracking.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900"/>
        <w:gridCol w:w="1800"/>
        <w:gridCol w:w="2600"/>
        <w:gridCol w:w="1200"/>
        <w:gridCol w:w="1100"/>
        <w:gridCol w:w="1260"/>
      </w:tblGrid>
      <w:tr>
        <w:trPr>
          <w:tblHeader/>
        </w:trPr>
        <w:tc>
          <w:tcPr>
            <w:tcW w:type="dxa" w:w="500"/>
            <w:shd w:fill="1B3A5C" w:val="clear"/>
            <w:vAlign w:val="center"/>
          </w:tcPr>
          <w:p>
            <w:pPr>
              <w:spacing w:after="40" w:before="40"/>
            </w:pPr>
            <w:r>
              <w:rPr>
                <w:rFonts w:ascii="Calibri" w:cs="Calibri" w:eastAsia="Calibri" w:hAnsi="Calibri"/>
                <w:b/>
                <w:bCs/>
                <w:color w:val="FFFFFF"/>
                <w:sz w:val="19"/>
                <w:szCs w:val="19"/>
              </w:rPr>
              <w:t xml:space="preserve">F#</w:t>
            </w:r>
          </w:p>
        </w:tc>
        <w:tc>
          <w:tcPr>
            <w:tcW w:type="dxa" w:w="900"/>
            <w:shd w:fill="1B3A5C" w:val="clear"/>
            <w:vAlign w:val="center"/>
          </w:tcPr>
          <w:p>
            <w:pPr>
              <w:spacing w:after="40" w:before="40"/>
            </w:pPr>
            <w:r>
              <w:rPr>
                <w:rFonts w:ascii="Calibri" w:cs="Calibri" w:eastAsia="Calibri" w:hAnsi="Calibri"/>
                <w:b/>
                <w:bCs/>
                <w:color w:val="FFFFFF"/>
                <w:sz w:val="19"/>
                <w:szCs w:val="19"/>
              </w:rPr>
              <w:t xml:space="preserve">Severity</w:t>
            </w:r>
          </w:p>
        </w:tc>
        <w:tc>
          <w:tcPr>
            <w:tcW w:type="dxa" w:w="1800"/>
            <w:shd w:fill="1B3A5C" w:val="clear"/>
            <w:vAlign w:val="center"/>
          </w:tcPr>
          <w:p>
            <w:pPr>
              <w:spacing w:after="40" w:before="40"/>
            </w:pPr>
            <w:r>
              <w:rPr>
                <w:rFonts w:ascii="Calibri" w:cs="Calibri" w:eastAsia="Calibri" w:hAnsi="Calibri"/>
                <w:b/>
                <w:bCs/>
                <w:color w:val="FFFFFF"/>
                <w:sz w:val="19"/>
                <w:szCs w:val="19"/>
              </w:rPr>
              <w:t xml:space="preserve">Finding</w:t>
            </w:r>
          </w:p>
        </w:tc>
        <w:tc>
          <w:tcPr>
            <w:tcW w:type="dxa" w:w="2600"/>
            <w:shd w:fill="1B3A5C" w:val="clear"/>
            <w:vAlign w:val="center"/>
          </w:tcPr>
          <w:p>
            <w:pPr>
              <w:spacing w:after="40" w:before="40"/>
            </w:pPr>
            <w:r>
              <w:rPr>
                <w:rFonts w:ascii="Calibri" w:cs="Calibri" w:eastAsia="Calibri" w:hAnsi="Calibri"/>
                <w:b/>
                <w:bCs/>
                <w:color w:val="FFFFFF"/>
                <w:sz w:val="19"/>
                <w:szCs w:val="19"/>
              </w:rPr>
              <w:t xml:space="preserve">Recommended Action</w:t>
            </w:r>
          </w:p>
        </w:tc>
        <w:tc>
          <w:tcPr>
            <w:tcW w:type="dxa" w:w="1200"/>
            <w:shd w:fill="1B3A5C" w:val="clear"/>
            <w:vAlign w:val="center"/>
          </w:tcPr>
          <w:p>
            <w:pPr>
              <w:spacing w:after="40" w:before="40"/>
            </w:pPr>
            <w:r>
              <w:rPr>
                <w:rFonts w:ascii="Calibri" w:cs="Calibri" w:eastAsia="Calibri" w:hAnsi="Calibri"/>
                <w:b/>
                <w:bCs/>
                <w:color w:val="FFFFFF"/>
                <w:sz w:val="19"/>
                <w:szCs w:val="19"/>
              </w:rPr>
              <w:t xml:space="preserve">Owner</w:t>
            </w:r>
          </w:p>
        </w:tc>
        <w:tc>
          <w:tcPr>
            <w:tcW w:type="dxa" w:w="1100"/>
            <w:shd w:fill="1B3A5C" w:val="clear"/>
            <w:vAlign w:val="center"/>
          </w:tcPr>
          <w:p>
            <w:pPr>
              <w:spacing w:after="40" w:before="40"/>
            </w:pPr>
            <w:r>
              <w:rPr>
                <w:rFonts w:ascii="Calibri" w:cs="Calibri" w:eastAsia="Calibri" w:hAnsi="Calibri"/>
                <w:b/>
                <w:bCs/>
                <w:color w:val="FFFFFF"/>
                <w:sz w:val="19"/>
                <w:szCs w:val="19"/>
              </w:rPr>
              <w:t xml:space="preserve">Target Date</w:t>
            </w:r>
          </w:p>
        </w:tc>
        <w:tc>
          <w:tcPr>
            <w:tcW w:type="dxa" w:w="1260"/>
            <w:shd w:fill="1B3A5C" w:val="clear"/>
            <w:vAlign w:val="center"/>
          </w:tcPr>
          <w:p>
            <w:pPr>
              <w:spacing w:after="40" w:before="40"/>
            </w:pPr>
            <w:r>
              <w:rPr>
                <w:rFonts w:ascii="Calibri" w:cs="Calibri" w:eastAsia="Calibri" w:hAnsi="Calibri"/>
                <w:b/>
                <w:bCs/>
                <w:color w:val="FFFFFF"/>
                <w:sz w:val="19"/>
                <w:szCs w:val="19"/>
              </w:rPr>
              <w:t xml:space="preserve">Status</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F-1</w:t>
            </w:r>
          </w:p>
        </w:tc>
        <w:tc>
          <w:tcPr>
            <w:tcW w:type="dxa" w:w="900"/>
            <w:shd w:fill="F2F2F2" w:val="clear"/>
            <w:vAlign w:val="center"/>
          </w:tcPr>
          <w:p>
            <w:pPr>
              <w:spacing w:after="30" w:before="30"/>
            </w:pPr>
            <w:r>
              <w:rPr>
                <w:rFonts w:ascii="Calibri" w:cs="Calibri" w:eastAsia="Calibri" w:hAnsi="Calibri"/>
                <w:b/>
                <w:bCs/>
                <w:i w:val="false"/>
                <w:iCs w:val="false"/>
                <w:color w:val="C0392B"/>
                <w:sz w:val="19"/>
                <w:szCs w:val="19"/>
              </w:rPr>
              <w:t xml:space="preserve">Critical</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Business Continuity Plan</w:t>
            </w:r>
          </w:p>
        </w:tc>
        <w:tc>
          <w:tcPr>
            <w:tcW w:type="dxa" w:w="2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Develop BCP addressing top 3 disruption scenarios</w:t>
            </w:r>
          </w:p>
        </w:tc>
        <w:tc>
          <w:tcPr>
            <w:tcW w:type="dxa" w:w="1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F-2</w:t>
            </w:r>
          </w:p>
        </w:tc>
        <w:tc>
          <w:tcPr>
            <w:tcW w:type="dxa" w:w="900"/>
            <w:shd w:fill="FFFFFF" w:val="clear"/>
            <w:vAlign w:val="center"/>
          </w:tcPr>
          <w:p>
            <w:pPr>
              <w:spacing w:after="30" w:before="30"/>
            </w:pPr>
            <w:r>
              <w:rPr>
                <w:rFonts w:ascii="Calibri" w:cs="Calibri" w:eastAsia="Calibri" w:hAnsi="Calibri"/>
                <w:b/>
                <w:bCs/>
                <w:i w:val="false"/>
                <w:iCs w:val="false"/>
                <w:color w:val="C0392B"/>
                <w:sz w:val="19"/>
                <w:szCs w:val="19"/>
              </w:rPr>
              <w:t xml:space="preserve">Critical</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IT Knowledge ,  Single Point of Failure</w:t>
            </w:r>
          </w:p>
        </w:tc>
        <w:tc>
          <w:tcPr>
            <w:tcW w:type="dxa" w:w="2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Create IT systems documentation and designate secondary contact</w:t>
            </w:r>
          </w:p>
        </w:tc>
        <w:tc>
          <w:tcPr>
            <w:tcW w:type="dxa" w:w="1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F-3</w:t>
            </w:r>
          </w:p>
        </w:tc>
        <w:tc>
          <w:tcPr>
            <w:tcW w:type="dxa" w:w="900"/>
            <w:shd w:fill="F2F2F2"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Tenant Communication Plan</w:t>
            </w:r>
          </w:p>
        </w:tc>
        <w:tc>
          <w:tcPr>
            <w:tcW w:type="dxa" w:w="2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Develop tenant communication protocol with templates</w:t>
            </w:r>
          </w:p>
        </w:tc>
        <w:tc>
          <w:tcPr>
            <w:tcW w:type="dxa" w:w="1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F-4</w:t>
            </w:r>
          </w:p>
        </w:tc>
        <w:tc>
          <w:tcPr>
            <w:tcW w:type="dxa" w:w="900"/>
            <w:shd w:fill="FFFFFF"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Vendor Emergency Contacts</w:t>
            </w:r>
          </w:p>
        </w:tc>
        <w:tc>
          <w:tcPr>
            <w:tcW w:type="dxa" w:w="2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Create centralized critical vendor directory</w:t>
            </w:r>
          </w:p>
        </w:tc>
        <w:tc>
          <w:tcPr>
            <w:tcW w:type="dxa" w:w="1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F-5</w:t>
            </w:r>
          </w:p>
        </w:tc>
        <w:tc>
          <w:tcPr>
            <w:tcW w:type="dxa" w:w="900"/>
            <w:shd w:fill="F2F2F2" w:val="clear"/>
            <w:vAlign w:val="center"/>
          </w:tcPr>
          <w:p>
            <w:pPr>
              <w:spacing w:after="30" w:before="30"/>
            </w:pPr>
            <w:r>
              <w:rPr>
                <w:rFonts w:ascii="Calibri" w:cs="Calibri" w:eastAsia="Calibri" w:hAnsi="Calibri"/>
                <w:b/>
                <w:bCs/>
                <w:i w:val="false"/>
                <w:iCs w:val="false"/>
                <w:color w:val="E67E22"/>
                <w:sz w:val="19"/>
                <w:szCs w:val="19"/>
              </w:rPr>
              <w:t xml:space="preserve">High</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Insurance Terms Unknown</w:t>
            </w:r>
          </w:p>
        </w:tc>
        <w:tc>
          <w:tcPr>
            <w:tcW w:type="dxa" w:w="2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Schedule broker policy review; distribute summary</w:t>
            </w:r>
          </w:p>
        </w:tc>
        <w:tc>
          <w:tcPr>
            <w:tcW w:type="dxa" w:w="1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F-6</w:t>
            </w:r>
          </w:p>
        </w:tc>
        <w:tc>
          <w:tcPr>
            <w:tcW w:type="dxa" w:w="900"/>
            <w:shd w:fill="FFFFFF"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 Remote Work Procedures</w:t>
            </w:r>
          </w:p>
        </w:tc>
        <w:tc>
          <w:tcPr>
            <w:tcW w:type="dxa" w:w="2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Define activation criteria; test remote access</w:t>
            </w:r>
          </w:p>
        </w:tc>
        <w:tc>
          <w:tcPr>
            <w:tcW w:type="dxa" w:w="1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F-7</w:t>
            </w:r>
          </w:p>
        </w:tc>
        <w:tc>
          <w:tcPr>
            <w:tcW w:type="dxa" w:w="900"/>
            <w:shd w:fill="F2F2F2"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Decision Authority Matrix</w:t>
            </w:r>
          </w:p>
        </w:tc>
        <w:tc>
          <w:tcPr>
            <w:tcW w:type="dxa" w:w="2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Document escalation thresholds and authority matrix</w:t>
            </w:r>
          </w:p>
        </w:tc>
        <w:tc>
          <w:tcPr>
            <w:tcW w:type="dxa" w:w="1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F-8</w:t>
            </w:r>
          </w:p>
        </w:tc>
        <w:tc>
          <w:tcPr>
            <w:tcW w:type="dxa" w:w="900"/>
            <w:shd w:fill="FFFFFF" w:val="clear"/>
            <w:vAlign w:val="center"/>
          </w:tcPr>
          <w:p>
            <w:pPr>
              <w:spacing w:after="30" w:before="30"/>
            </w:pPr>
            <w:r>
              <w:rPr>
                <w:rFonts w:ascii="Calibri" w:cs="Calibri" w:eastAsia="Calibri" w:hAnsi="Calibri"/>
                <w:b/>
                <w:bCs/>
                <w:i w:val="false"/>
                <w:iCs w:val="false"/>
                <w:color w:val="D4AC0D"/>
                <w:sz w:val="19"/>
                <w:szCs w:val="19"/>
              </w:rPr>
              <w:t xml:space="preserve">Medium</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Owner Communication Gap</w:t>
            </w:r>
          </w:p>
        </w:tc>
        <w:tc>
          <w:tcPr>
            <w:tcW w:type="dxa" w:w="26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Review contracts; develop owner notification protocol</w:t>
            </w:r>
          </w:p>
        </w:tc>
        <w:tc>
          <w:tcPr>
            <w:tcW w:type="dxa" w:w="1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F-9</w:t>
            </w:r>
          </w:p>
        </w:tc>
        <w:tc>
          <w:tcPr>
            <w:tcW w:type="dxa" w:w="900"/>
            <w:shd w:fill="F2F2F2" w:val="clear"/>
            <w:vAlign w:val="center"/>
          </w:tcPr>
          <w:p>
            <w:pPr>
              <w:spacing w:after="30" w:before="30"/>
            </w:pPr>
            <w:r>
              <w:rPr>
                <w:rFonts w:ascii="Calibri" w:cs="Calibri" w:eastAsia="Calibri" w:hAnsi="Calibri"/>
                <w:b/>
                <w:bCs/>
                <w:i w:val="false"/>
                <w:iCs w:val="false"/>
                <w:color w:val="27AE60"/>
                <w:sz w:val="19"/>
                <w:szCs w:val="19"/>
              </w:rPr>
              <w:t xml:space="preserve">Low</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 Emergency Supply Kits</w:t>
            </w:r>
          </w:p>
        </w:tc>
        <w:tc>
          <w:tcPr>
            <w:tcW w:type="dxa" w:w="26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Develop checklists; stage kits at high-risk properties</w:t>
            </w:r>
          </w:p>
        </w:tc>
        <w:tc>
          <w:tcPr>
            <w:tcW w:type="dxa" w:w="1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1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
            </w:r>
          </w:p>
        </w:tc>
        <w:tc>
          <w:tcPr>
            <w:tcW w:type="dxa" w:w="12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Not Started</w:t>
            </w:r>
          </w:p>
        </w:tc>
      </w:tr>
    </w:tbl>
    <w:p>
      <w:r>
        <w:br w:type="page"/>
      </w:r>
    </w:p>
    <w:p>
      <w:pPr>
        <w:pStyle w:val="Heading1"/>
        <w:spacing w:after="200" w:before="360"/>
      </w:pPr>
      <w:r>
        <w:rPr>
          <w:rFonts w:ascii="Calibri" w:cs="Calibri" w:eastAsia="Calibri" w:hAnsi="Calibri"/>
          <w:b/>
          <w:bCs/>
          <w:color w:val="1B3A5C"/>
          <w:sz w:val="28"/>
          <w:szCs w:val="28"/>
        </w:rPr>
        <w:t xml:space="preserve">Appendix B: Participant Roster</w:t>
      </w:r>
    </w:p>
    <w:p>
      <w:pPr>
        <w:spacing w:after="160" w:line="276"/>
        <w:jc w:val="left"/>
      </w:pPr>
      <w:r>
        <w:rPr>
          <w:rFonts w:ascii="Calibri" w:cs="Calibri" w:eastAsia="Calibri" w:hAnsi="Calibri"/>
          <w:b w:val="false"/>
          <w:bCs w:val="false"/>
          <w:i w:val="false"/>
          <w:iCs w:val="false"/>
          <w:color w:val="333333"/>
          <w:sz w:val="21"/>
          <w:szCs w:val="21"/>
        </w:rPr>
        <w:t xml:space="preserve">The following individuals participated in the Business Resilience Pulse Check tabletop exercise conducted on June 12, 2026, at Meridian Property Group headquarters.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000"/>
        <w:gridCol w:w="3200"/>
        <w:gridCol w:w="1860"/>
        <w:gridCol w:w="1800"/>
      </w:tblGrid>
      <w:tr>
        <w:trPr>
          <w:tblHeader/>
        </w:trPr>
        <w:tc>
          <w:tcPr>
            <w:tcW w:type="dxa" w:w="500"/>
            <w:shd w:fill="1B3A5C" w:val="clear"/>
            <w:vAlign w:val="center"/>
          </w:tcPr>
          <w:p>
            <w:pPr>
              <w:spacing w:after="40" w:before="40"/>
            </w:pPr>
            <w:r>
              <w:rPr>
                <w:rFonts w:ascii="Calibri" w:cs="Calibri" w:eastAsia="Calibri" w:hAnsi="Calibri"/>
                <w:b/>
                <w:bCs/>
                <w:color w:val="FFFFFF"/>
                <w:sz w:val="19"/>
                <w:szCs w:val="19"/>
              </w:rPr>
              <w:t xml:space="preserve">#</w:t>
            </w:r>
          </w:p>
        </w:tc>
        <w:tc>
          <w:tcPr>
            <w:tcW w:type="dxa" w:w="2000"/>
            <w:shd w:fill="1B3A5C" w:val="clear"/>
            <w:vAlign w:val="center"/>
          </w:tcPr>
          <w:p>
            <w:pPr>
              <w:spacing w:after="40" w:before="40"/>
            </w:pPr>
            <w:r>
              <w:rPr>
                <w:rFonts w:ascii="Calibri" w:cs="Calibri" w:eastAsia="Calibri" w:hAnsi="Calibri"/>
                <w:b/>
                <w:bCs/>
                <w:color w:val="FFFFFF"/>
                <w:sz w:val="19"/>
                <w:szCs w:val="19"/>
              </w:rPr>
              <w:t xml:space="preserve">Name</w:t>
            </w:r>
          </w:p>
        </w:tc>
        <w:tc>
          <w:tcPr>
            <w:tcW w:type="dxa" w:w="3200"/>
            <w:shd w:fill="1B3A5C" w:val="clear"/>
            <w:vAlign w:val="center"/>
          </w:tcPr>
          <w:p>
            <w:pPr>
              <w:spacing w:after="40" w:before="40"/>
            </w:pPr>
            <w:r>
              <w:rPr>
                <w:rFonts w:ascii="Calibri" w:cs="Calibri" w:eastAsia="Calibri" w:hAnsi="Calibri"/>
                <w:b/>
                <w:bCs/>
                <w:color w:val="FFFFFF"/>
                <w:sz w:val="19"/>
                <w:szCs w:val="19"/>
              </w:rPr>
              <w:t xml:space="preserve">Title / Role</w:t>
            </w:r>
          </w:p>
        </w:tc>
        <w:tc>
          <w:tcPr>
            <w:tcW w:type="dxa" w:w="1860"/>
            <w:shd w:fill="1B3A5C" w:val="clear"/>
            <w:vAlign w:val="center"/>
          </w:tcPr>
          <w:p>
            <w:pPr>
              <w:spacing w:after="40" w:before="40"/>
            </w:pPr>
            <w:r>
              <w:rPr>
                <w:rFonts w:ascii="Calibri" w:cs="Calibri" w:eastAsia="Calibri" w:hAnsi="Calibri"/>
                <w:b/>
                <w:bCs/>
                <w:color w:val="FFFFFF"/>
                <w:sz w:val="19"/>
                <w:szCs w:val="19"/>
              </w:rPr>
              <w:t xml:space="preserve">Department</w:t>
            </w:r>
          </w:p>
        </w:tc>
        <w:tc>
          <w:tcPr>
            <w:tcW w:type="dxa" w:w="1800"/>
            <w:shd w:fill="1B3A5C" w:val="clear"/>
            <w:vAlign w:val="center"/>
          </w:tcPr>
          <w:p>
            <w:pPr>
              <w:spacing w:after="40" w:before="40"/>
            </w:pPr>
            <w:r>
              <w:rPr>
                <w:rFonts w:ascii="Calibri" w:cs="Calibri" w:eastAsia="Calibri" w:hAnsi="Calibri"/>
                <w:b/>
                <w:bCs/>
                <w:color w:val="FFFFFF"/>
                <w:sz w:val="19"/>
                <w:szCs w:val="19"/>
              </w:rPr>
              <w:t xml:space="preserve">Participation</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1</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James Caldwell</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CEO / Owner</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Executive</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2</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Sandra Mitchell</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VP of Operations</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Executive</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3</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David Okafor</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Director of Property Management</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Operations</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4</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Rebecca Tran</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Controller / Finance Director</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Finance</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5</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Marcus Webb</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IT Manager</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Information Technology</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6</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Patricia Alvarez</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HR Manager</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Human Resources</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7</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Brian Kowalski</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Regional Property Manager (Region 1)</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Operations</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8</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Latisha Barnes</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Regional Property Manager (Region 2)</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Operations</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9</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Thomas Gruber</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Maintenance Director</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Facilities</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10</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Aisha Patel</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Lease Administrator</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Operations</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11</w:t>
            </w:r>
          </w:p>
        </w:tc>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Karen Lindstrom</w:t>
            </w:r>
          </w:p>
        </w:tc>
        <w:tc>
          <w:tcPr>
            <w:tcW w:type="dxa" w:w="32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Office Manager / Admin</w:t>
            </w:r>
          </w:p>
        </w:tc>
        <w:tc>
          <w:tcPr>
            <w:tcW w:type="dxa" w:w="18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Administration</w:t>
            </w:r>
          </w:p>
        </w:tc>
        <w:tc>
          <w:tcPr>
            <w:tcW w:type="dxa" w:w="18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r>
        <w:tc>
          <w:tcPr>
            <w:tcW w:type="dxa" w:w="5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12</w:t>
            </w:r>
          </w:p>
        </w:tc>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Javier Reyes</w:t>
            </w:r>
          </w:p>
        </w:tc>
        <w:tc>
          <w:tcPr>
            <w:tcW w:type="dxa" w:w="32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Marketing Coordinator</w:t>
            </w:r>
          </w:p>
        </w:tc>
        <w:tc>
          <w:tcPr>
            <w:tcW w:type="dxa" w:w="18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Marketing</w:t>
            </w:r>
          </w:p>
        </w:tc>
        <w:tc>
          <w:tcPr>
            <w:tcW w:type="dxa" w:w="18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Full</w:t>
            </w:r>
          </w:p>
        </w:tc>
      </w:tr>
    </w:tbl>
    <w:p>
      <w:pPr>
        <w:spacing w:after="200"/>
      </w:pPr>
      <w:r>
        <w:rPr>
          <w:sz w:val="21"/>
          <w:szCs w:val="21"/>
        </w:rPr>
        <w:t xml:space="preserve"/>
      </w:r>
    </w:p>
    <w:p>
      <w:pPr>
        <w:spacing w:after="160" w:line="276"/>
        <w:jc w:val="left"/>
      </w:pPr>
      <w:r>
        <w:rPr>
          <w:rFonts w:ascii="Calibri" w:cs="Calibri" w:eastAsia="Calibri" w:hAnsi="Calibri"/>
          <w:b/>
          <w:bCs/>
          <w:i w:val="false"/>
          <w:iCs w:val="false"/>
          <w:color w:val="333333"/>
          <w:sz w:val="21"/>
          <w:szCs w:val="21"/>
        </w:rPr>
        <w:t xml:space="preserve">Notable Absences: </w:t>
      </w:r>
      <w:r>
        <w:rPr>
          <w:rFonts w:ascii="Calibri" w:cs="Calibri" w:eastAsia="Calibri" w:hAnsi="Calibri"/>
          <w:b w:val="false"/>
          <w:bCs w:val="false"/>
          <w:i w:val="false"/>
          <w:iCs w:val="false"/>
          <w:color w:val="333333"/>
          <w:sz w:val="21"/>
          <w:szCs w:val="21"/>
        </w:rPr>
        <w:t xml:space="preserve">IT Technician (on PTO), Legal Counsel (not invited), Insurance Broker (not invited).</w:t>
      </w:r>
    </w:p>
    <w:p>
      <w:r>
        <w:br w:type="page"/>
      </w:r>
    </w:p>
    <w:p>
      <w:pPr>
        <w:pStyle w:val="Heading1"/>
        <w:spacing w:after="200" w:before="360"/>
      </w:pPr>
      <w:r>
        <w:rPr>
          <w:rFonts w:ascii="Calibri" w:cs="Calibri" w:eastAsia="Calibri" w:hAnsi="Calibri"/>
          <w:b/>
          <w:bCs/>
          <w:color w:val="1B3A5C"/>
          <w:sz w:val="28"/>
          <w:szCs w:val="28"/>
        </w:rPr>
        <w:t xml:space="preserve">Appendix C: Acronyms and Abbreviations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rPr>
          <w:tblHeader/>
        </w:trPr>
        <w:tc>
          <w:tcPr>
            <w:tcW w:type="dxa" w:w="2000"/>
            <w:shd w:fill="1B3A5C" w:val="clear"/>
            <w:vAlign w:val="center"/>
          </w:tcPr>
          <w:p>
            <w:pPr>
              <w:spacing w:after="40" w:before="40"/>
            </w:pPr>
            <w:r>
              <w:rPr>
                <w:rFonts w:ascii="Calibri" w:cs="Calibri" w:eastAsia="Calibri" w:hAnsi="Calibri"/>
                <w:b/>
                <w:bCs/>
                <w:color w:val="FFFFFF"/>
                <w:sz w:val="19"/>
                <w:szCs w:val="19"/>
              </w:rPr>
              <w:t xml:space="preserve">Acronym</w:t>
            </w:r>
          </w:p>
        </w:tc>
        <w:tc>
          <w:tcPr>
            <w:tcW w:type="dxa" w:w="7360"/>
            <w:shd w:fill="1B3A5C" w:val="clear"/>
            <w:vAlign w:val="center"/>
          </w:tcPr>
          <w:p>
            <w:pPr>
              <w:spacing w:after="40" w:before="40"/>
            </w:pPr>
            <w:r>
              <w:rPr>
                <w:rFonts w:ascii="Calibri" w:cs="Calibri" w:eastAsia="Calibri" w:hAnsi="Calibri"/>
                <w:b/>
                <w:bCs/>
                <w:color w:val="FFFFFF"/>
                <w:sz w:val="19"/>
                <w:szCs w:val="19"/>
              </w:rPr>
              <w:t xml:space="preserve">Definition</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AAR</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After-Action Report</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BCP</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Business Continuity Plan</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CSF</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Cybersecurity Framework</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DFIR</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Digital Forensics and Incident Response</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DLP</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Data Loss Prevention</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DXA</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Device-independent pixel (unit of measurement in document formatting)</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HSEEP</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Homeland Security Exercise and Evaluation Program</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HQ</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Headquarters</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HVAC</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Heating, Ventilation, and Air Conditioning</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NIST</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National Institute of Standards and Technology</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NIST CSF</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NIST Cybersecurity Framework</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PTO</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Paid Time Off</w:t>
            </w:r>
          </w:p>
        </w:tc>
      </w:tr>
      <w:tr>
        <w:tc>
          <w:tcPr>
            <w:tcW w:type="dxa" w:w="200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SLA</w:t>
            </w:r>
          </w:p>
        </w:tc>
        <w:tc>
          <w:tcPr>
            <w:tcW w:type="dxa" w:w="7360"/>
            <w:shd w:fill="F2F2F2" w:val="clear"/>
            <w:vAlign w:val="center"/>
          </w:tcPr>
          <w:p>
            <w:pPr>
              <w:spacing w:after="30" w:before="30"/>
            </w:pPr>
            <w:r>
              <w:rPr>
                <w:rFonts w:ascii="Calibri" w:cs="Calibri" w:eastAsia="Calibri" w:hAnsi="Calibri"/>
                <w:b w:val="false"/>
                <w:bCs w:val="false"/>
                <w:i w:val="false"/>
                <w:iCs w:val="false"/>
                <w:color w:val="333333"/>
                <w:sz w:val="19"/>
                <w:szCs w:val="19"/>
              </w:rPr>
              <w:t xml:space="preserve">Service Level Agreement</w:t>
            </w:r>
          </w:p>
        </w:tc>
      </w:tr>
      <w:tr>
        <w:tc>
          <w:tcPr>
            <w:tcW w:type="dxa" w:w="200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SOW</w:t>
            </w:r>
          </w:p>
        </w:tc>
        <w:tc>
          <w:tcPr>
            <w:tcW w:type="dxa" w:w="7360"/>
            <w:shd w:fill="FFFFFF" w:val="clear"/>
            <w:vAlign w:val="center"/>
          </w:tcPr>
          <w:p>
            <w:pPr>
              <w:spacing w:after="30" w:before="30"/>
            </w:pPr>
            <w:r>
              <w:rPr>
                <w:rFonts w:ascii="Calibri" w:cs="Calibri" w:eastAsia="Calibri" w:hAnsi="Calibri"/>
                <w:b w:val="false"/>
                <w:bCs w:val="false"/>
                <w:i w:val="false"/>
                <w:iCs w:val="false"/>
                <w:color w:val="333333"/>
                <w:sz w:val="19"/>
                <w:szCs w:val="19"/>
              </w:rPr>
              <w:t xml:space="preserve">Statement of Work</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666666" w:sz="2"/>
      </w:pBdr>
      <w:jc w:val="center"/>
    </w:pPr>
    <w:r>
      <w:rPr>
        <w:rFonts w:ascii="Calibri" w:cs="Calibri" w:eastAsia="Calibri" w:hAnsi="Calibri"/>
        <w:color w:val="666666"/>
        <w:sz w:val="16"/>
        <w:szCs w:val="16"/>
      </w:rPr>
      <w:t xml:space="preserve">CONFIDENTIAL .  Meridian Property Group, LLC ,  Pulse Check AAR ,  SAMPLE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b/>
        <w:bCs/>
        <w:color w:val="C0392B"/>
        <w:sz w:val="16"/>
        <w:szCs w:val="16"/>
      </w:rPr>
      <w:t xml:space="preserve">SAMPLE</w:t>
    </w:r>
    <w:r>
      <w:rPr>
        <w:rFonts w:ascii="Calibri" w:cs="Calibri" w:eastAsia="Calibri" w:hAnsi="Calibri"/>
        <w:color w:val="666666"/>
        <w:sz w:val="16"/>
        <w:szCs w:val="16"/>
      </w:rPr>
      <w:t xml:space="preserve">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after="200" w:before="360"/>
    </w:pPr>
    <w:rPr>
      <w:rFonts w:ascii="Calibri" w:cs="Calibri" w:eastAsia="Calibri" w:hAnsi="Calibri"/>
      <w:b/>
      <w:bCs/>
      <w:color w:val="1B3A5C"/>
      <w:sz w:val="28"/>
      <w:szCs w:val="28"/>
    </w:rPr>
  </w:style>
  <w:style w:type="paragraph" w:styleId="Heading2">
    <w:name w:val="Heading 2"/>
    <w:basedOn w:val="Normal"/>
    <w:next w:val="Normal"/>
    <w:qFormat/>
    <w:pPr>
      <w:spacing w:after="160" w:before="280"/>
    </w:pPr>
    <w:rPr>
      <w:rFonts w:ascii="Calibri" w:cs="Calibri" w:eastAsia="Calibri" w:hAnsi="Calibri"/>
      <w:b/>
      <w:bCs/>
      <w:color w:val="2E5F8A"/>
      <w:sz w:val="24"/>
      <w:szCs w:val="24"/>
    </w:rPr>
  </w:style>
  <w:style w:type="paragraph" w:styleId="Heading3">
    <w:name w:val="Heading 3"/>
    <w:basedOn w:val="Normal"/>
    <w:next w:val="Normal"/>
    <w:qFormat/>
    <w:pPr>
      <w:spacing w:after="120" w:before="200"/>
    </w:pPr>
    <w:rPr>
      <w:rFonts w:ascii="Calibri" w:cs="Calibri" w:eastAsia="Calibri" w:hAnsi="Calibri"/>
      <w:b/>
      <w:bCs/>
      <w:color w:val="333333"/>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After-Action Report - Extended Infrastructure Outage</dc:title>
  <dc:creator>Pulse Check - Business Resilience</dc:creator>
  <dc:description>Sample AAR for Meridian Property Group - Pulse Check Exercise</dc:description>
  <cp:lastModifiedBy>Un-named</cp:lastModifiedBy>
  <cp:revision>1</cp:revision>
  <dcterms:created xsi:type="dcterms:W3CDTF">2026-07-14T22:30:16.828Z</dcterms:created>
  <dcterms:modified xsi:type="dcterms:W3CDTF">2026-07-14T22:30:16.829Z</dcterms:modified>
</cp:coreProperties>
</file>

<file path=docProps/custom.xml><?xml version="1.0" encoding="utf-8"?>
<Properties xmlns="http://schemas.openxmlformats.org/officeDocument/2006/custom-properties" xmlns:vt="http://schemas.openxmlformats.org/officeDocument/2006/docPropsVTypes"/>
</file>